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8B855" w14:textId="61E44833" w:rsidR="00FF1248" w:rsidRDefault="00FF1248" w:rsidP="00FF1248">
      <w:pPr>
        <w:pStyle w:val="CRCoverPage"/>
        <w:tabs>
          <w:tab w:val="right" w:pos="9639"/>
        </w:tabs>
        <w:spacing w:after="0"/>
        <w:rPr>
          <w:b/>
          <w:i/>
          <w:noProof/>
          <w:sz w:val="28"/>
        </w:rPr>
      </w:pPr>
      <w:r>
        <w:rPr>
          <w:b/>
          <w:noProof/>
          <w:sz w:val="24"/>
        </w:rPr>
        <w:t>3GPP TSG-RAN WG3 Meeting #119</w:t>
      </w:r>
      <w:r w:rsidR="002C7DD7">
        <w:rPr>
          <w:b/>
          <w:noProof/>
          <w:sz w:val="24"/>
        </w:rPr>
        <w:t>bis-e</w:t>
      </w:r>
      <w:r>
        <w:rPr>
          <w:b/>
          <w:i/>
          <w:noProof/>
          <w:sz w:val="28"/>
        </w:rPr>
        <w:tab/>
      </w:r>
      <w:r w:rsidR="00CE6A06" w:rsidRPr="001A3F48">
        <w:rPr>
          <w:b/>
          <w:noProof/>
          <w:sz w:val="24"/>
        </w:rPr>
        <w:t>R3-231524</w:t>
      </w:r>
    </w:p>
    <w:p w14:paraId="05FE47DF" w14:textId="72167736" w:rsidR="00CD4C7B" w:rsidRPr="00FF1248" w:rsidRDefault="00CE6A06" w:rsidP="00FF1248">
      <w:pPr>
        <w:pStyle w:val="CRCoverPage"/>
        <w:outlineLvl w:val="0"/>
        <w:rPr>
          <w:b/>
          <w:noProof/>
          <w:sz w:val="24"/>
        </w:rPr>
      </w:pPr>
      <w:r>
        <w:rPr>
          <w:b/>
          <w:noProof/>
          <w:sz w:val="24"/>
        </w:rPr>
        <w:t>Online</w:t>
      </w:r>
      <w:r w:rsidR="00FF1248">
        <w:rPr>
          <w:b/>
          <w:noProof/>
          <w:sz w:val="24"/>
        </w:rPr>
        <w:t xml:space="preserve">, </w:t>
      </w:r>
      <w:r w:rsidR="002C7DD7">
        <w:rPr>
          <w:b/>
          <w:noProof/>
          <w:sz w:val="24"/>
        </w:rPr>
        <w:t>17</w:t>
      </w:r>
      <w:r w:rsidR="00FF1248">
        <w:rPr>
          <w:b/>
          <w:noProof/>
          <w:sz w:val="24"/>
        </w:rPr>
        <w:t xml:space="preserve"> </w:t>
      </w:r>
      <w:r w:rsidR="002C7DD7">
        <w:rPr>
          <w:b/>
          <w:noProof/>
          <w:sz w:val="24"/>
        </w:rPr>
        <w:t>April</w:t>
      </w:r>
      <w:r w:rsidR="00FF1248">
        <w:rPr>
          <w:b/>
          <w:noProof/>
          <w:sz w:val="24"/>
        </w:rPr>
        <w:t>-</w:t>
      </w:r>
      <w:r w:rsidR="002C7DD7">
        <w:rPr>
          <w:b/>
          <w:noProof/>
          <w:sz w:val="24"/>
        </w:rPr>
        <w:t>26</w:t>
      </w:r>
      <w:r w:rsidR="00FF1248">
        <w:rPr>
          <w:b/>
          <w:noProof/>
          <w:sz w:val="24"/>
        </w:rPr>
        <w:t xml:space="preserve"> </w:t>
      </w:r>
      <w:r w:rsidR="002C7DD7">
        <w:rPr>
          <w:b/>
          <w:noProof/>
          <w:sz w:val="24"/>
        </w:rPr>
        <w:t xml:space="preserve">April </w:t>
      </w:r>
      <w:r w:rsidR="00FF1248">
        <w:rPr>
          <w:b/>
          <w:noProof/>
          <w:sz w:val="24"/>
        </w:rPr>
        <w:t>2023</w:t>
      </w:r>
    </w:p>
    <w:p w14:paraId="0717E73E" w14:textId="77777777" w:rsidR="00CD4C7B" w:rsidRPr="00B1063A" w:rsidRDefault="00CD4C7B" w:rsidP="00CD4C7B">
      <w:pPr>
        <w:pStyle w:val="a3"/>
        <w:rPr>
          <w:bCs/>
          <w:noProof w:val="0"/>
          <w:sz w:val="24"/>
          <w:lang w:val="en-US"/>
        </w:rPr>
      </w:pPr>
    </w:p>
    <w:p w14:paraId="3B0EF5F6" w14:textId="1F4078B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E875A2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70147B" w:rsidRPr="0070147B">
        <w:rPr>
          <w:rFonts w:ascii="Arial" w:hAnsi="Arial" w:cs="Arial"/>
          <w:b/>
          <w:bCs/>
          <w:sz w:val="24"/>
        </w:rPr>
        <w:t xml:space="preserve">IAB-node </w:t>
      </w:r>
      <w:r w:rsidR="001B6C46">
        <w:rPr>
          <w:rFonts w:ascii="Arial" w:hAnsi="Arial" w:cs="Arial"/>
          <w:b/>
          <w:bCs/>
          <w:sz w:val="24"/>
        </w:rPr>
        <w:t>mobility</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2997FE3F" w14:textId="77777777" w:rsidR="00CE6A06" w:rsidRPr="00A858CF" w:rsidRDefault="00CE6A06" w:rsidP="00CE6A06">
      <w:pPr>
        <w:rPr>
          <w:sz w:val="22"/>
        </w:rPr>
      </w:pPr>
      <w:r w:rsidRPr="005E6466">
        <w:rPr>
          <w:noProof/>
        </w:rPr>
        <mc:AlternateContent>
          <mc:Choice Requires="wps">
            <w:drawing>
              <wp:anchor distT="0" distB="0" distL="114300" distR="114300" simplePos="0" relativeHeight="251664384" behindDoc="0" locked="0" layoutInCell="1" allowOverlap="1" wp14:anchorId="323E5316" wp14:editId="1C064890">
                <wp:simplePos x="0" y="0"/>
                <wp:positionH relativeFrom="column">
                  <wp:posOffset>-27305</wp:posOffset>
                </wp:positionH>
                <wp:positionV relativeFrom="paragraph">
                  <wp:posOffset>335915</wp:posOffset>
                </wp:positionV>
                <wp:extent cx="5934710" cy="3028315"/>
                <wp:effectExtent l="0" t="0" r="27940" b="19685"/>
                <wp:wrapTopAndBottom/>
                <wp:docPr id="1" name="文本框 1"/>
                <wp:cNvGraphicFramePr/>
                <a:graphic xmlns:a="http://schemas.openxmlformats.org/drawingml/2006/main">
                  <a:graphicData uri="http://schemas.microsoft.com/office/word/2010/wordprocessingShape">
                    <wps:wsp>
                      <wps:cNvSpPr txBox="1"/>
                      <wps:spPr>
                        <a:xfrm>
                          <a:off x="0" y="0"/>
                          <a:ext cx="5934710" cy="3028315"/>
                        </a:xfrm>
                        <a:prstGeom prst="rect">
                          <a:avLst/>
                        </a:prstGeom>
                        <a:solidFill>
                          <a:schemeClr val="lt1"/>
                        </a:solidFill>
                        <a:ln w="6350">
                          <a:solidFill>
                            <a:prstClr val="black"/>
                          </a:solidFill>
                        </a:ln>
                      </wps:spPr>
                      <wps:txbx>
                        <w:txbxContent>
                          <w:p w14:paraId="50AFA9D3" w14:textId="77777777" w:rsidR="00CE6A06" w:rsidRPr="006146AB" w:rsidRDefault="00CE6A06" w:rsidP="00CE6A06">
                            <w:pPr>
                              <w:rPr>
                                <w:rFonts w:ascii="Calibri" w:eastAsia="等线" w:hAnsi="Calibri" w:cs="Calibri"/>
                                <w:i/>
                                <w:color w:val="FF0000"/>
                                <w:sz w:val="16"/>
                                <w:szCs w:val="16"/>
                              </w:rPr>
                            </w:pPr>
                            <w:r w:rsidRPr="006146AB">
                              <w:rPr>
                                <w:rFonts w:ascii="Calibri" w:eastAsia="等线" w:hAnsi="Calibri" w:cs="Calibri"/>
                                <w:i/>
                                <w:color w:val="FF0000"/>
                                <w:sz w:val="16"/>
                                <w:szCs w:val="16"/>
                              </w:rPr>
                              <w:t>RAN3#119:</w:t>
                            </w:r>
                          </w:p>
                          <w:p w14:paraId="7E12E595"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p w14:paraId="35FE6E7B"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CE12724"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In case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is different from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needs to be informed about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ID and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 ID so that it can initiate the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TMM procedures towards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-MT’s CU.</w:t>
                            </w:r>
                          </w:p>
                          <w:p w14:paraId="64A794B3"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HO of UEs from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should happen after the completion of the F1 setup. When to trigger the HO is up to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 implementation.</w:t>
                            </w:r>
                          </w:p>
                          <w:p w14:paraId="0C00845A" w14:textId="77777777" w:rsidR="00CE6A06" w:rsidRPr="006146AB" w:rsidRDefault="00CE6A06" w:rsidP="00CE6A06">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0AE224B3"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Target donor CU selection for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 migration and triggering conditions for F1 setup can be up to source CU implementation (unless it is justified that this is not possible) or based on OAM configuration at the source CU.</w:t>
                            </w:r>
                          </w:p>
                          <w:p w14:paraId="20A69CC1"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RAN3 not to work on solutions addressing use cases where inter donor IP connectivity is not available.</w:t>
                            </w:r>
                          </w:p>
                          <w:p w14:paraId="32D854A8"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For scenarios without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RAN3 to investigate whether IAB-related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w:t>
                            </w:r>
                            <w:proofErr w:type="spellStart"/>
                            <w:r w:rsidRPr="006146AB">
                              <w:rPr>
                                <w:rFonts w:ascii="Calibri" w:hAnsi="Calibri" w:cs="Calibri"/>
                                <w:i/>
                                <w:iCs/>
                                <w:color w:val="00B050"/>
                                <w:kern w:val="2"/>
                                <w:sz w:val="16"/>
                                <w:szCs w:val="16"/>
                              </w:rPr>
                              <w:t>signaling</w:t>
                            </w:r>
                            <w:proofErr w:type="spellEnd"/>
                            <w:r w:rsidRPr="006146AB">
                              <w:rPr>
                                <w:rFonts w:ascii="Calibri" w:hAnsi="Calibri" w:cs="Calibri"/>
                                <w:i/>
                                <w:iCs/>
                                <w:color w:val="00B050"/>
                                <w:kern w:val="2"/>
                                <w:sz w:val="16"/>
                                <w:szCs w:val="16"/>
                              </w:rPr>
                              <w:t xml:space="preserve"> for partial migration and DU migration can be carried via NG using a container to avoid the impact on the AMF.</w:t>
                            </w:r>
                          </w:p>
                          <w:p w14:paraId="303481E1" w14:textId="77777777" w:rsidR="00CE6A06" w:rsidRDefault="00CE6A06" w:rsidP="00CE6A06">
                            <w:pPr>
                              <w:rPr>
                                <w:rFonts w:ascii="Calibri" w:eastAsia="等线" w:hAnsi="Calibri" w:cs="Calibri"/>
                                <w:i/>
                                <w:color w:val="FF0000"/>
                                <w:sz w:val="16"/>
                                <w:szCs w:val="16"/>
                              </w:rPr>
                            </w:pPr>
                          </w:p>
                          <w:p w14:paraId="69676E33" w14:textId="77777777" w:rsidR="00CE6A06" w:rsidRPr="006146AB" w:rsidRDefault="00CE6A06" w:rsidP="00CE6A06">
                            <w:pPr>
                              <w:rPr>
                                <w:rFonts w:ascii="Calibri" w:eastAsia="等线" w:hAnsi="Calibri" w:cs="Calibri"/>
                                <w:i/>
                                <w:color w:val="FF0000"/>
                                <w:sz w:val="16"/>
                                <w:szCs w:val="16"/>
                              </w:rPr>
                            </w:pPr>
                            <w:r w:rsidRPr="006146AB">
                              <w:rPr>
                                <w:rFonts w:ascii="Calibri" w:eastAsia="等线" w:hAnsi="Calibri" w:cs="Calibri"/>
                                <w:i/>
                                <w:color w:val="FF0000"/>
                                <w:sz w:val="16"/>
                                <w:szCs w:val="16"/>
                              </w:rPr>
                              <w:t>RAN3#119:</w:t>
                            </w:r>
                          </w:p>
                          <w:p w14:paraId="3FFB9616"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p w14:paraId="31B991A0"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3714737A"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In case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is different from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needs to be informed about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ID and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 ID so that it can initiate the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TMM procedures towards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-MT’s CU.</w:t>
                            </w:r>
                          </w:p>
                          <w:p w14:paraId="269EECAF"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HO of UEs from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should happen after the completion of the F1 setup. When to trigger the HO is up to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 implementation.</w:t>
                            </w:r>
                          </w:p>
                          <w:p w14:paraId="39EAB57D" w14:textId="77777777" w:rsidR="00CE6A06" w:rsidRPr="006146AB" w:rsidRDefault="00CE6A06" w:rsidP="00CE6A06">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C4153EC"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Target donor CU selection for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 migration and triggering conditions for F1 setup can be up to source CU implementation (unless it is justified that this is not possible) or based on OAM configuration at the source CU.</w:t>
                            </w:r>
                          </w:p>
                          <w:p w14:paraId="713D8AEE"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RAN3 not to work on solutions addressing use cases where inter donor IP connectivity is not available.</w:t>
                            </w:r>
                          </w:p>
                          <w:p w14:paraId="6107B296"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For scenarios without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RAN3 to investigate whether IAB-related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w:t>
                            </w:r>
                            <w:proofErr w:type="spellStart"/>
                            <w:r w:rsidRPr="006146AB">
                              <w:rPr>
                                <w:rFonts w:ascii="Calibri" w:hAnsi="Calibri" w:cs="Calibri"/>
                                <w:i/>
                                <w:iCs/>
                                <w:color w:val="00B050"/>
                                <w:kern w:val="2"/>
                                <w:sz w:val="16"/>
                                <w:szCs w:val="16"/>
                              </w:rPr>
                              <w:t>signaling</w:t>
                            </w:r>
                            <w:proofErr w:type="spellEnd"/>
                            <w:r w:rsidRPr="006146AB">
                              <w:rPr>
                                <w:rFonts w:ascii="Calibri" w:hAnsi="Calibri" w:cs="Calibri"/>
                                <w:i/>
                                <w:iCs/>
                                <w:color w:val="00B050"/>
                                <w:kern w:val="2"/>
                                <w:sz w:val="16"/>
                                <w:szCs w:val="16"/>
                              </w:rPr>
                              <w:t xml:space="preserve"> for partial migration and DU migration can be carried via NG using a container to avoid the impact on the AMF.</w:t>
                            </w:r>
                          </w:p>
                          <w:p w14:paraId="7F5B1482" w14:textId="77777777" w:rsidR="00CE6A06" w:rsidRDefault="00CE6A06" w:rsidP="00CE6A06">
                            <w:pPr>
                              <w:rPr>
                                <w:rFonts w:ascii="Calibri" w:hAnsi="Calibri" w:cs="Calibri"/>
                                <w:i/>
                                <w:iCs/>
                                <w:color w:val="00B050"/>
                                <w:kern w:val="2"/>
                                <w:sz w:val="16"/>
                                <w:szCs w:val="16"/>
                              </w:rPr>
                            </w:pPr>
                          </w:p>
                          <w:p w14:paraId="642EAE45" w14:textId="77777777" w:rsidR="00CE6A06" w:rsidRPr="00D4695C" w:rsidRDefault="00CE6A06" w:rsidP="00CE6A06">
                            <w:pPr>
                              <w:rPr>
                                <w:rFonts w:ascii="Calibri" w:hAnsi="Calibri" w:cs="Calibri"/>
                                <w:i/>
                                <w:iCs/>
                                <w:color w:val="00B050"/>
                                <w:kern w:val="2"/>
                                <w:sz w:val="16"/>
                                <w:szCs w:val="16"/>
                              </w:rPr>
                            </w:pPr>
                          </w:p>
                          <w:p w14:paraId="6DE06E65" w14:textId="77777777" w:rsidR="00CE6A06" w:rsidRPr="006F70C2" w:rsidRDefault="00CE6A06"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r w:rsidRPr="00D4695C">
                              <w:rPr>
                                <w:rFonts w:ascii="Calibri" w:hAnsi="Calibri" w:cs="Calibri"/>
                                <w:i/>
                                <w:iCs/>
                                <w:color w:val="00B050"/>
                                <w:kern w:val="2"/>
                                <w:sz w:val="16"/>
                                <w:szCs w:val="16"/>
                              </w:rPr>
                              <w:t>The trigger for F1 setup between the mobile IAB-node’s second logical DU and its donor CU may be based on OAM or pre-configuration.</w:t>
                            </w:r>
                          </w:p>
                          <w:p w14:paraId="55F81705" w14:textId="77777777" w:rsidR="00CE6A06" w:rsidRPr="006F70C2" w:rsidRDefault="00CE6A06"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3E5316" id="_x0000_t202" coordsize="21600,21600" o:spt="202" path="m,l,21600r21600,l21600,xe">
                <v:stroke joinstyle="miter"/>
                <v:path gradientshapeok="t" o:connecttype="rect"/>
              </v:shapetype>
              <v:shape id="文本框 1" o:spid="_x0000_s1026" type="#_x0000_t202" style="position:absolute;margin-left:-2.15pt;margin-top:26.45pt;width:467.3pt;height:23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" fillcolor="white [3201]" strokeweight=".5pt">
                <v:textbox>
                  <w:txbxContent>
                    <w:p w14:paraId="50AFA9D3" w14:textId="77777777" w:rsidR="00CE6A06" w:rsidRPr="006146AB" w:rsidRDefault="00CE6A06" w:rsidP="00CE6A06">
                      <w:pPr>
                        <w:rPr>
                          <w:rFonts w:ascii="Calibri" w:eastAsia="等线" w:hAnsi="Calibri" w:cs="Calibri"/>
                          <w:i/>
                          <w:color w:val="FF0000"/>
                          <w:sz w:val="16"/>
                          <w:szCs w:val="16"/>
                        </w:rPr>
                      </w:pPr>
                      <w:r w:rsidRPr="006146AB">
                        <w:rPr>
                          <w:rFonts w:ascii="Calibri" w:eastAsia="等线" w:hAnsi="Calibri" w:cs="Calibri"/>
                          <w:i/>
                          <w:color w:val="FF0000"/>
                          <w:sz w:val="16"/>
                          <w:szCs w:val="16"/>
                        </w:rPr>
                        <w:t>RAN3#119:</w:t>
                      </w:r>
                    </w:p>
                    <w:p w14:paraId="7E12E595"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p w14:paraId="35FE6E7B"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CE12724"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In case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is different from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needs to be informed about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ID and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 ID so that it can initiate the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TMM procedures towards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-MT’s CU.</w:t>
                      </w:r>
                    </w:p>
                    <w:p w14:paraId="64A794B3"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HO of UEs from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should happen after the completion of the F1 setup. When to trigger the HO is up to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 implementation.</w:t>
                      </w:r>
                    </w:p>
                    <w:p w14:paraId="0C00845A" w14:textId="77777777" w:rsidR="00CE6A06" w:rsidRPr="006146AB" w:rsidRDefault="00CE6A06" w:rsidP="00CE6A06">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0AE224B3"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Target donor CU selection for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 migration and triggering conditions for F1 setup can be up to source CU implementation (unless it is justified that this is not possible) or based on OAM configuration at the source CU.</w:t>
                      </w:r>
                    </w:p>
                    <w:p w14:paraId="20A69CC1"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RAN3 not to work on solutions addressing use cases where inter donor IP connectivity is not available.</w:t>
                      </w:r>
                    </w:p>
                    <w:p w14:paraId="32D854A8"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For scenarios without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RAN3 to investigate whether IAB-related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w:t>
                      </w:r>
                      <w:proofErr w:type="spellStart"/>
                      <w:r w:rsidRPr="006146AB">
                        <w:rPr>
                          <w:rFonts w:ascii="Calibri" w:hAnsi="Calibri" w:cs="Calibri"/>
                          <w:i/>
                          <w:iCs/>
                          <w:color w:val="00B050"/>
                          <w:kern w:val="2"/>
                          <w:sz w:val="16"/>
                          <w:szCs w:val="16"/>
                        </w:rPr>
                        <w:t>signaling</w:t>
                      </w:r>
                      <w:proofErr w:type="spellEnd"/>
                      <w:r w:rsidRPr="006146AB">
                        <w:rPr>
                          <w:rFonts w:ascii="Calibri" w:hAnsi="Calibri" w:cs="Calibri"/>
                          <w:i/>
                          <w:iCs/>
                          <w:color w:val="00B050"/>
                          <w:kern w:val="2"/>
                          <w:sz w:val="16"/>
                          <w:szCs w:val="16"/>
                        </w:rPr>
                        <w:t xml:space="preserve"> for partial migration and DU migration can be carried via NG using a container to avoid the impact on the AMF.</w:t>
                      </w:r>
                    </w:p>
                    <w:p w14:paraId="303481E1" w14:textId="77777777" w:rsidR="00CE6A06" w:rsidRDefault="00CE6A06" w:rsidP="00CE6A06">
                      <w:pPr>
                        <w:rPr>
                          <w:rFonts w:ascii="Calibri" w:eastAsia="等线" w:hAnsi="Calibri" w:cs="Calibri"/>
                          <w:i/>
                          <w:color w:val="FF0000"/>
                          <w:sz w:val="16"/>
                          <w:szCs w:val="16"/>
                        </w:rPr>
                      </w:pPr>
                    </w:p>
                    <w:p w14:paraId="69676E33" w14:textId="77777777" w:rsidR="00CE6A06" w:rsidRPr="006146AB" w:rsidRDefault="00CE6A06" w:rsidP="00CE6A06">
                      <w:pPr>
                        <w:rPr>
                          <w:rFonts w:ascii="Calibri" w:eastAsia="等线" w:hAnsi="Calibri" w:cs="Calibri"/>
                          <w:i/>
                          <w:color w:val="FF0000"/>
                          <w:sz w:val="16"/>
                          <w:szCs w:val="16"/>
                        </w:rPr>
                      </w:pPr>
                      <w:r w:rsidRPr="006146AB">
                        <w:rPr>
                          <w:rFonts w:ascii="Calibri" w:eastAsia="等线" w:hAnsi="Calibri" w:cs="Calibri"/>
                          <w:i/>
                          <w:color w:val="FF0000"/>
                          <w:sz w:val="16"/>
                          <w:szCs w:val="16"/>
                        </w:rPr>
                        <w:t>RAN3#119:</w:t>
                      </w:r>
                    </w:p>
                    <w:p w14:paraId="3FFB9616"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p w14:paraId="31B991A0"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3714737A"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In case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is different from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needs to be informed about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-MT’s CU ID and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-MT ID so that it can initiate the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TMM procedures towards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-MT’s CU.</w:t>
                      </w:r>
                    </w:p>
                    <w:p w14:paraId="269EECAF"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HO of UEs from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should happen after the completion of the F1 setup. When to trigger the HO is up to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 implementation.</w:t>
                      </w:r>
                    </w:p>
                    <w:p w14:paraId="39EAB57D" w14:textId="77777777" w:rsidR="00CE6A06" w:rsidRPr="006146AB" w:rsidRDefault="00CE6A06" w:rsidP="00CE6A06">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C4153EC"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Target donor CU selection for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 migration and triggering conditions for F1 setup can be up to source CU implementation (unless it is justified that this is not possible) or based on OAM configuration at the source CU.</w:t>
                      </w:r>
                    </w:p>
                    <w:p w14:paraId="713D8AEE" w14:textId="77777777" w:rsidR="00CE6A06" w:rsidRPr="006146AB"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RAN3 not to work on solutions addressing use cases where inter donor IP connectivity is not available.</w:t>
                      </w:r>
                    </w:p>
                    <w:p w14:paraId="6107B296" w14:textId="77777777" w:rsidR="00CE6A06" w:rsidRDefault="00CE6A06" w:rsidP="00CE6A06">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For scenarios without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RAN3 to investigate whether IAB-related </w:t>
                      </w:r>
                      <w:proofErr w:type="spellStart"/>
                      <w:r w:rsidRPr="006146AB">
                        <w:rPr>
                          <w:rFonts w:ascii="Calibri" w:hAnsi="Calibri" w:cs="Calibri"/>
                          <w:i/>
                          <w:iCs/>
                          <w:color w:val="00B050"/>
                          <w:kern w:val="2"/>
                          <w:sz w:val="16"/>
                          <w:szCs w:val="16"/>
                        </w:rPr>
                        <w:t>Xn</w:t>
                      </w:r>
                      <w:proofErr w:type="spellEnd"/>
                      <w:r w:rsidRPr="006146AB">
                        <w:rPr>
                          <w:rFonts w:ascii="Calibri" w:hAnsi="Calibri" w:cs="Calibri"/>
                          <w:i/>
                          <w:iCs/>
                          <w:color w:val="00B050"/>
                          <w:kern w:val="2"/>
                          <w:sz w:val="16"/>
                          <w:szCs w:val="16"/>
                        </w:rPr>
                        <w:t xml:space="preserve"> </w:t>
                      </w:r>
                      <w:proofErr w:type="spellStart"/>
                      <w:r w:rsidRPr="006146AB">
                        <w:rPr>
                          <w:rFonts w:ascii="Calibri" w:hAnsi="Calibri" w:cs="Calibri"/>
                          <w:i/>
                          <w:iCs/>
                          <w:color w:val="00B050"/>
                          <w:kern w:val="2"/>
                          <w:sz w:val="16"/>
                          <w:szCs w:val="16"/>
                        </w:rPr>
                        <w:t>signaling</w:t>
                      </w:r>
                      <w:proofErr w:type="spellEnd"/>
                      <w:r w:rsidRPr="006146AB">
                        <w:rPr>
                          <w:rFonts w:ascii="Calibri" w:hAnsi="Calibri" w:cs="Calibri"/>
                          <w:i/>
                          <w:iCs/>
                          <w:color w:val="00B050"/>
                          <w:kern w:val="2"/>
                          <w:sz w:val="16"/>
                          <w:szCs w:val="16"/>
                        </w:rPr>
                        <w:t xml:space="preserve"> for partial migration and DU migration can be carried via NG using a container to avoid the impact on the AMF.</w:t>
                      </w:r>
                    </w:p>
                    <w:p w14:paraId="7F5B1482" w14:textId="77777777" w:rsidR="00CE6A06" w:rsidRDefault="00CE6A06" w:rsidP="00CE6A06">
                      <w:pPr>
                        <w:rPr>
                          <w:rFonts w:ascii="Calibri" w:hAnsi="Calibri" w:cs="Calibri"/>
                          <w:i/>
                          <w:iCs/>
                          <w:color w:val="00B050"/>
                          <w:kern w:val="2"/>
                          <w:sz w:val="16"/>
                          <w:szCs w:val="16"/>
                        </w:rPr>
                      </w:pPr>
                    </w:p>
                    <w:p w14:paraId="642EAE45" w14:textId="77777777" w:rsidR="00CE6A06" w:rsidRPr="00D4695C" w:rsidRDefault="00CE6A06" w:rsidP="00CE6A06">
                      <w:pPr>
                        <w:rPr>
                          <w:rFonts w:ascii="Calibri" w:hAnsi="Calibri" w:cs="Calibri"/>
                          <w:i/>
                          <w:iCs/>
                          <w:color w:val="00B050"/>
                          <w:kern w:val="2"/>
                          <w:sz w:val="16"/>
                          <w:szCs w:val="16"/>
                        </w:rPr>
                      </w:pPr>
                    </w:p>
                    <w:p w14:paraId="6DE06E65" w14:textId="77777777" w:rsidR="00CE6A06" w:rsidRPr="006F70C2" w:rsidRDefault="00CE6A06"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r w:rsidRPr="00D4695C">
                        <w:rPr>
                          <w:rFonts w:ascii="Calibri" w:hAnsi="Calibri" w:cs="Calibri"/>
                          <w:i/>
                          <w:iCs/>
                          <w:color w:val="00B050"/>
                          <w:kern w:val="2"/>
                          <w:sz w:val="16"/>
                          <w:szCs w:val="16"/>
                        </w:rPr>
                        <w:t>The trigger for F1 setup between the mobile IAB-node’s second logical DU and its donor CU may be based on OAM or pre-configuration.</w:t>
                      </w:r>
                    </w:p>
                    <w:p w14:paraId="55F81705" w14:textId="77777777" w:rsidR="00CE6A06" w:rsidRPr="006F70C2" w:rsidRDefault="00CE6A06" w:rsidP="00CE6A06">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p>
                  </w:txbxContent>
                </v:textbox>
                <w10:wrap type="topAndBottom"/>
              </v:shape>
            </w:pict>
          </mc:Fallback>
        </mc:AlternateContent>
      </w:r>
      <w:r w:rsidRPr="005E6466">
        <w:t>In this contribution, we’d like to discuss the support of the IAB-node mobility based on the previous discussions</w:t>
      </w:r>
      <w:r w:rsidRPr="00A858CF">
        <w:rPr>
          <w:sz w:val="22"/>
        </w:rPr>
        <w:t>.</w:t>
      </w:r>
    </w:p>
    <w:p w14:paraId="47019226" w14:textId="77777777" w:rsidR="00CE6A06" w:rsidRPr="005E6466" w:rsidRDefault="00CE6A06" w:rsidP="00CE6A06">
      <w:r w:rsidRPr="005E6466">
        <w:t>The following aspects are discussed in this paper.</w:t>
      </w:r>
    </w:p>
    <w:p w14:paraId="22509EC9" w14:textId="78C0E61D" w:rsidR="00CE6A06" w:rsidRPr="005E6466" w:rsidRDefault="00CE6A06" w:rsidP="00CE6A06">
      <w:r w:rsidRPr="005E6466">
        <w:t>- partial migration</w:t>
      </w:r>
    </w:p>
    <w:p w14:paraId="09E85CD7" w14:textId="1B48EB63" w:rsidR="00CE6A06" w:rsidRDefault="00CE6A06" w:rsidP="00CE6A06">
      <w:r w:rsidRPr="005E6466">
        <w:t>- DU migration</w:t>
      </w:r>
    </w:p>
    <w:p w14:paraId="2F64C145" w14:textId="7FBD0BF5" w:rsidR="008F2AD0" w:rsidRPr="005E6466" w:rsidRDefault="008F2AD0" w:rsidP="00CE6A06">
      <w:r>
        <w:t>- additional ULI</w:t>
      </w:r>
    </w:p>
    <w:p w14:paraId="12F27092" w14:textId="320A8196" w:rsidR="002C7DD7" w:rsidRPr="002C7DD7" w:rsidRDefault="00CD4C7B" w:rsidP="005A04B8">
      <w:pPr>
        <w:pStyle w:val="1"/>
      </w:pPr>
      <w:r w:rsidRPr="006E13D1">
        <w:t>2</w:t>
      </w:r>
      <w:r w:rsidRPr="006E13D1">
        <w:tab/>
      </w:r>
      <w:r w:rsidR="00972FD7">
        <w:t>Discussion</w:t>
      </w:r>
    </w:p>
    <w:p w14:paraId="7355E9EB" w14:textId="65D7ADAD" w:rsidR="00D862C5" w:rsidRPr="00386801" w:rsidRDefault="00D862C5" w:rsidP="00431A24">
      <w:pPr>
        <w:pStyle w:val="2"/>
      </w:pPr>
      <w:bookmarkStart w:id="0" w:name="_Hlk109747344"/>
      <w:r>
        <w:t>2.</w:t>
      </w:r>
      <w:r w:rsidR="009A695F">
        <w:t>1</w:t>
      </w:r>
      <w:r>
        <w:tab/>
      </w:r>
      <w:r w:rsidR="000858F1">
        <w:t>P</w:t>
      </w:r>
      <w:r w:rsidR="000F2637">
        <w:t>artial migration</w:t>
      </w:r>
    </w:p>
    <w:p w14:paraId="77302EFD" w14:textId="23A62C5B" w:rsidR="000F2637" w:rsidRPr="0031492F" w:rsidRDefault="000F2637" w:rsidP="000F2637">
      <w:r w:rsidRPr="0031492F">
        <w:t>As agreed in RAN3, mIAB-MT may perform multiple consecutive partial migrations, after each IAB-MT handover, the source donor-CU of the IAB-MT should indicate donor-CU</w:t>
      </w:r>
      <w:r w:rsidR="006412FD" w:rsidRPr="0031492F">
        <w:t xml:space="preserve"> </w:t>
      </w:r>
      <w:r w:rsidRPr="0031492F">
        <w:t>of IAB-DU</w:t>
      </w:r>
      <w:r w:rsidR="006412FD" w:rsidRPr="0031492F">
        <w:t>, but the following issues needs to be further discussed:</w:t>
      </w:r>
    </w:p>
    <w:p w14:paraId="390053BC" w14:textId="76527559" w:rsidR="006412FD" w:rsidRPr="0031492F" w:rsidRDefault="006412FD" w:rsidP="006412FD">
      <w:pPr>
        <w:pStyle w:val="a9"/>
        <w:numPr>
          <w:ilvl w:val="0"/>
          <w:numId w:val="20"/>
        </w:numPr>
        <w:ind w:leftChars="0"/>
        <w:rPr>
          <w:rFonts w:ascii="Times New Roman" w:hAnsi="Times New Roman"/>
          <w:sz w:val="20"/>
          <w:szCs w:val="20"/>
        </w:rPr>
      </w:pPr>
      <w:r w:rsidRPr="0031492F">
        <w:rPr>
          <w:rFonts w:ascii="Times New Roman" w:hAnsi="Times New Roman"/>
          <w:sz w:val="20"/>
          <w:szCs w:val="20"/>
        </w:rPr>
        <w:t>Issue1, the mIAB-MT ID sent by the mIAB-MT’s source donor CU to the mIAB-DU’s donor CU is the XnAP UE ID. FFS which donor generates this ID</w:t>
      </w:r>
    </w:p>
    <w:p w14:paraId="546CDBF4" w14:textId="07F799D2" w:rsidR="006412FD" w:rsidRPr="0031492F" w:rsidRDefault="006412FD" w:rsidP="006412FD">
      <w:pPr>
        <w:pStyle w:val="a9"/>
        <w:numPr>
          <w:ilvl w:val="0"/>
          <w:numId w:val="20"/>
        </w:numPr>
        <w:ind w:leftChars="0"/>
        <w:rPr>
          <w:rFonts w:ascii="Times New Roman" w:hAnsi="Times New Roman"/>
          <w:sz w:val="20"/>
          <w:szCs w:val="20"/>
        </w:rPr>
      </w:pPr>
      <w:r w:rsidRPr="0031492F">
        <w:rPr>
          <w:rFonts w:ascii="Times New Roman" w:hAnsi="Times New Roman"/>
          <w:sz w:val="20"/>
          <w:szCs w:val="20"/>
        </w:rPr>
        <w:t>Issue 2, how the mIAB-MT ID is maintained across migrations</w:t>
      </w:r>
    </w:p>
    <w:p w14:paraId="3B341C86" w14:textId="03560FBE" w:rsidR="006412FD" w:rsidRPr="0031492F" w:rsidRDefault="006412FD" w:rsidP="006412FD">
      <w:pPr>
        <w:pStyle w:val="a9"/>
        <w:numPr>
          <w:ilvl w:val="0"/>
          <w:numId w:val="20"/>
        </w:numPr>
        <w:ind w:leftChars="0"/>
        <w:rPr>
          <w:rFonts w:ascii="Times New Roman" w:hAnsi="Times New Roman"/>
          <w:sz w:val="20"/>
          <w:szCs w:val="20"/>
        </w:rPr>
      </w:pPr>
      <w:r w:rsidRPr="0031492F">
        <w:rPr>
          <w:rFonts w:ascii="Times New Roman" w:hAnsi="Times New Roman"/>
          <w:sz w:val="20"/>
          <w:szCs w:val="20"/>
        </w:rPr>
        <w:t>Issue 3, collision between DU migration and MT migration</w:t>
      </w:r>
    </w:p>
    <w:p w14:paraId="14925705" w14:textId="105832B1" w:rsidR="006412FD" w:rsidRPr="0031492F" w:rsidRDefault="006412FD" w:rsidP="00DC0907">
      <w:pPr>
        <w:spacing w:before="120" w:after="120"/>
        <w:outlineLvl w:val="2"/>
        <w:rPr>
          <w:b/>
          <w:bCs/>
          <w:i/>
          <w:color w:val="0000FF"/>
          <w:u w:val="single"/>
        </w:rPr>
      </w:pPr>
      <w:r w:rsidRPr="0031492F">
        <w:rPr>
          <w:b/>
          <w:bCs/>
          <w:i/>
          <w:color w:val="0000FF"/>
          <w:u w:val="single"/>
        </w:rPr>
        <w:lastRenderedPageBreak/>
        <w:t xml:space="preserve">Issue </w:t>
      </w:r>
      <w:r w:rsidR="00854F93" w:rsidRPr="0031492F">
        <w:rPr>
          <w:b/>
          <w:bCs/>
          <w:i/>
          <w:color w:val="0000FF"/>
          <w:u w:val="single"/>
        </w:rPr>
        <w:t>1</w:t>
      </w:r>
      <w:r w:rsidRPr="0031492F">
        <w:rPr>
          <w:b/>
          <w:bCs/>
          <w:i/>
          <w:color w:val="0000FF"/>
          <w:u w:val="single"/>
        </w:rPr>
        <w:t>, FFS which donor generates this ID</w:t>
      </w:r>
      <w:r w:rsidRPr="0031492F">
        <w:rPr>
          <w:rFonts w:eastAsia="等线"/>
          <w:b/>
          <w:i/>
          <w:color w:val="0000FF"/>
          <w:u w:val="single"/>
        </w:rPr>
        <w:t xml:space="preserve"> </w:t>
      </w:r>
    </w:p>
    <w:p w14:paraId="4EC24A66" w14:textId="2D6E3970" w:rsidR="009A695F" w:rsidRPr="0031492F" w:rsidRDefault="005A04B8" w:rsidP="005A04B8">
      <w:pPr>
        <w:pStyle w:val="Agreement"/>
        <w:numPr>
          <w:ilvl w:val="0"/>
          <w:numId w:val="0"/>
        </w:numPr>
        <w:tabs>
          <w:tab w:val="left" w:pos="720"/>
        </w:tabs>
        <w:rPr>
          <w:rFonts w:ascii="Times New Roman" w:hAnsi="Times New Roman"/>
          <w:b w:val="0"/>
          <w:szCs w:val="20"/>
        </w:rPr>
      </w:pPr>
      <w:r w:rsidRPr="0031492F">
        <w:rPr>
          <w:rFonts w:ascii="Times New Roman" w:hAnsi="Times New Roman"/>
          <w:b w:val="0"/>
          <w:szCs w:val="20"/>
        </w:rPr>
        <w:t xml:space="preserve">This issue is related to </w:t>
      </w:r>
      <w:r w:rsidR="009A695F" w:rsidRPr="0031492F">
        <w:rPr>
          <w:rFonts w:ascii="Times New Roman" w:hAnsi="Times New Roman"/>
          <w:b w:val="0"/>
          <w:szCs w:val="20"/>
        </w:rPr>
        <w:t xml:space="preserve">RAN3 </w:t>
      </w:r>
      <w:r w:rsidR="0031492F" w:rsidRPr="0031492F">
        <w:rPr>
          <w:rFonts w:ascii="Times New Roman" w:hAnsi="Times New Roman"/>
          <w:b w:val="0"/>
          <w:szCs w:val="20"/>
        </w:rPr>
        <w:t>agreements</w:t>
      </w:r>
      <w:r w:rsidR="009A695F" w:rsidRPr="0031492F">
        <w:rPr>
          <w:rFonts w:ascii="Times New Roman" w:hAnsi="Times New Roman"/>
          <w:b w:val="0"/>
          <w:szCs w:val="20"/>
        </w:rPr>
        <w:t xml:space="preserve"> in November</w:t>
      </w:r>
      <w:r w:rsidR="00701A94">
        <w:rPr>
          <w:rFonts w:ascii="Times New Roman" w:hAnsi="Times New Roman"/>
          <w:b w:val="0"/>
          <w:szCs w:val="20"/>
        </w:rPr>
        <w:t>, but has not discussed in RAN3 119 meeting.</w:t>
      </w:r>
    </w:p>
    <w:p w14:paraId="0EACFA68" w14:textId="77777777" w:rsidR="009A695F" w:rsidRPr="0031492F" w:rsidRDefault="009A695F" w:rsidP="009A695F">
      <w:pPr>
        <w:spacing w:before="120" w:after="0"/>
        <w:ind w:left="360"/>
        <w:rPr>
          <w:rFonts w:ascii="Calibri" w:hAnsi="Calibri" w:cs="Calibri"/>
          <w:b/>
          <w:bCs/>
          <w:color w:val="008000"/>
        </w:rPr>
      </w:pPr>
      <w:bookmarkStart w:id="1" w:name="_Hlk131759876"/>
      <w:r w:rsidRPr="0031492F">
        <w:rPr>
          <w:rFonts w:ascii="Calibri" w:hAnsi="Calibri" w:cs="Calibri"/>
          <w:b/>
          <w:bCs/>
          <w:color w:val="008000"/>
        </w:rPr>
        <w:t xml:space="preserve">The source donor CU for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 xml:space="preserve">-MT HO provides to the donor CU serving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 xml:space="preserve">-DU </w:t>
      </w:r>
      <w:bookmarkEnd w:id="1"/>
      <w:r w:rsidRPr="0031492F">
        <w:rPr>
          <w:rFonts w:ascii="Calibri" w:hAnsi="Calibri" w:cs="Calibri"/>
          <w:b/>
          <w:bCs/>
          <w:color w:val="008000"/>
        </w:rPr>
        <w:t>at least the:</w:t>
      </w:r>
    </w:p>
    <w:p w14:paraId="1D0F28F9" w14:textId="77777777" w:rsidR="009A695F" w:rsidRPr="0031492F" w:rsidRDefault="009A695F" w:rsidP="009A695F">
      <w:pPr>
        <w:spacing w:before="120" w:after="0"/>
        <w:ind w:left="360"/>
        <w:rPr>
          <w:rFonts w:ascii="Calibri" w:hAnsi="Calibri" w:cs="Calibri"/>
          <w:b/>
          <w:bCs/>
          <w:color w:val="008000"/>
        </w:rPr>
      </w:pPr>
      <w:r w:rsidRPr="0031492F">
        <w:rPr>
          <w:rFonts w:ascii="Calibri" w:hAnsi="Calibri" w:cs="Calibri"/>
          <w:b/>
          <w:bCs/>
          <w:color w:val="008000"/>
        </w:rPr>
        <w:t>•</w:t>
      </w:r>
      <w:r w:rsidRPr="0031492F">
        <w:rPr>
          <w:rFonts w:ascii="Calibri" w:hAnsi="Calibri" w:cs="Calibri"/>
          <w:b/>
          <w:bCs/>
          <w:color w:val="008000"/>
        </w:rPr>
        <w:tab/>
      </w:r>
      <w:proofErr w:type="spellStart"/>
      <w:r w:rsidRPr="0031492F">
        <w:rPr>
          <w:rFonts w:ascii="Calibri" w:hAnsi="Calibri" w:cs="Calibri"/>
          <w:b/>
          <w:bCs/>
          <w:color w:val="008000"/>
        </w:rPr>
        <w:t>gNB</w:t>
      </w:r>
      <w:proofErr w:type="spellEnd"/>
      <w:r w:rsidRPr="0031492F">
        <w:rPr>
          <w:rFonts w:ascii="Calibri" w:hAnsi="Calibri" w:cs="Calibri"/>
          <w:b/>
          <w:bCs/>
          <w:color w:val="008000"/>
        </w:rPr>
        <w:t xml:space="preserve"> ID of the target donor CU for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-MT HO.</w:t>
      </w:r>
    </w:p>
    <w:p w14:paraId="69A38CFB" w14:textId="77777777" w:rsidR="009A695F" w:rsidRPr="0031492F" w:rsidRDefault="009A695F" w:rsidP="009A695F">
      <w:pPr>
        <w:spacing w:before="120" w:after="0"/>
        <w:ind w:left="360"/>
        <w:rPr>
          <w:rFonts w:ascii="Calibri" w:hAnsi="Calibri" w:cs="Calibri"/>
          <w:bCs/>
          <w:color w:val="0000FF"/>
        </w:rPr>
      </w:pPr>
      <w:r w:rsidRPr="0031492F">
        <w:rPr>
          <w:rFonts w:ascii="Calibri" w:hAnsi="Calibri" w:cs="Calibri"/>
          <w:b/>
          <w:bCs/>
          <w:color w:val="008000"/>
        </w:rPr>
        <w:t>•</w:t>
      </w:r>
      <w:r w:rsidRPr="0031492F">
        <w:rPr>
          <w:rFonts w:ascii="Calibri" w:hAnsi="Calibri" w:cs="Calibri"/>
          <w:b/>
          <w:bCs/>
          <w:color w:val="008000"/>
        </w:rPr>
        <w:tab/>
        <w:t xml:space="preserve">ID(s) of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 xml:space="preserve">-MT. </w:t>
      </w:r>
      <w:r w:rsidRPr="0031492F">
        <w:rPr>
          <w:rFonts w:ascii="Calibri" w:hAnsi="Calibri" w:cs="Calibri"/>
          <w:bCs/>
          <w:color w:val="0000FF"/>
        </w:rPr>
        <w:t xml:space="preserve">How the </w:t>
      </w:r>
      <w:proofErr w:type="spellStart"/>
      <w:r w:rsidRPr="0031492F">
        <w:rPr>
          <w:rFonts w:ascii="Calibri" w:hAnsi="Calibri" w:cs="Calibri"/>
          <w:bCs/>
          <w:color w:val="0000FF"/>
        </w:rPr>
        <w:t>mIAB</w:t>
      </w:r>
      <w:proofErr w:type="spellEnd"/>
      <w:r w:rsidRPr="0031492F">
        <w:rPr>
          <w:rFonts w:ascii="Calibri" w:hAnsi="Calibri" w:cs="Calibri"/>
          <w:bCs/>
          <w:color w:val="0000FF"/>
        </w:rPr>
        <w:t>-MT ID is maintained across migrations needs to be further discussed.</w:t>
      </w:r>
    </w:p>
    <w:p w14:paraId="42645FB0" w14:textId="77777777" w:rsidR="009A695F" w:rsidRPr="0031492F" w:rsidRDefault="009A695F" w:rsidP="009A695F">
      <w:pPr>
        <w:ind w:left="360"/>
        <w:rPr>
          <w:rFonts w:ascii="Calibri" w:hAnsi="Calibri" w:cs="Calibri"/>
          <w:bCs/>
          <w:color w:val="008000"/>
        </w:rPr>
      </w:pPr>
      <w:r w:rsidRPr="0031492F">
        <w:rPr>
          <w:rFonts w:ascii="Calibri" w:hAnsi="Calibri" w:cs="Calibri"/>
          <w:b/>
          <w:color w:val="008000"/>
        </w:rPr>
        <w:t xml:space="preserve">The </w:t>
      </w:r>
      <w:proofErr w:type="spellStart"/>
      <w:r w:rsidRPr="0031492F">
        <w:rPr>
          <w:rFonts w:ascii="Calibri" w:hAnsi="Calibri" w:cs="Calibri"/>
          <w:b/>
          <w:color w:val="008000"/>
        </w:rPr>
        <w:t>mIAB</w:t>
      </w:r>
      <w:proofErr w:type="spellEnd"/>
      <w:r w:rsidRPr="0031492F">
        <w:rPr>
          <w:rFonts w:ascii="Calibri" w:hAnsi="Calibri" w:cs="Calibri"/>
          <w:b/>
          <w:color w:val="008000"/>
        </w:rPr>
        <w:t xml:space="preserve">-MT ID sent by the </w:t>
      </w:r>
      <w:proofErr w:type="spellStart"/>
      <w:r w:rsidRPr="0031492F">
        <w:rPr>
          <w:rFonts w:ascii="Calibri" w:hAnsi="Calibri" w:cs="Calibri"/>
          <w:b/>
          <w:color w:val="008000"/>
        </w:rPr>
        <w:t>mIAB</w:t>
      </w:r>
      <w:proofErr w:type="spellEnd"/>
      <w:r w:rsidRPr="0031492F">
        <w:rPr>
          <w:rFonts w:ascii="Calibri" w:hAnsi="Calibri" w:cs="Calibri"/>
          <w:b/>
          <w:color w:val="008000"/>
        </w:rPr>
        <w:t xml:space="preserve">-MT’s source donor CU to the </w:t>
      </w:r>
      <w:proofErr w:type="spellStart"/>
      <w:r w:rsidRPr="0031492F">
        <w:rPr>
          <w:rFonts w:ascii="Calibri" w:hAnsi="Calibri" w:cs="Calibri"/>
          <w:b/>
          <w:color w:val="008000"/>
        </w:rPr>
        <w:t>mIAB</w:t>
      </w:r>
      <w:proofErr w:type="spellEnd"/>
      <w:r w:rsidRPr="0031492F">
        <w:rPr>
          <w:rFonts w:ascii="Calibri" w:hAnsi="Calibri" w:cs="Calibri"/>
          <w:b/>
          <w:color w:val="008000"/>
        </w:rPr>
        <w:t xml:space="preserve">-DU’s donor CU is the </w:t>
      </w:r>
      <w:proofErr w:type="spellStart"/>
      <w:r w:rsidRPr="0031492F">
        <w:rPr>
          <w:rFonts w:ascii="Calibri" w:hAnsi="Calibri" w:cs="Calibri"/>
          <w:b/>
          <w:color w:val="008000"/>
        </w:rPr>
        <w:t>XnAP</w:t>
      </w:r>
      <w:proofErr w:type="spellEnd"/>
      <w:r w:rsidRPr="0031492F">
        <w:rPr>
          <w:rFonts w:ascii="Calibri" w:hAnsi="Calibri" w:cs="Calibri"/>
          <w:b/>
          <w:color w:val="008000"/>
        </w:rPr>
        <w:t xml:space="preserve"> UE ID.</w:t>
      </w:r>
      <w:r w:rsidRPr="0031492F">
        <w:rPr>
          <w:rFonts w:ascii="Calibri" w:hAnsi="Calibri" w:cs="Calibri"/>
          <w:bCs/>
          <w:color w:val="008000"/>
        </w:rPr>
        <w:t xml:space="preserve"> </w:t>
      </w:r>
      <w:r w:rsidRPr="0031492F">
        <w:rPr>
          <w:rFonts w:ascii="Calibri" w:hAnsi="Calibri" w:cs="Calibri"/>
          <w:b/>
          <w:bCs/>
          <w:color w:val="0000FF"/>
        </w:rPr>
        <w:t>FFS which donor generates this ID.</w:t>
      </w:r>
      <w:r w:rsidRPr="0031492F">
        <w:rPr>
          <w:rFonts w:ascii="Calibri" w:hAnsi="Calibri" w:cs="Calibri"/>
          <w:bCs/>
          <w:color w:val="008000"/>
        </w:rPr>
        <w:t xml:space="preserve"> </w:t>
      </w:r>
    </w:p>
    <w:p w14:paraId="4D21145C" w14:textId="304C1AC7" w:rsidR="006412FD" w:rsidRPr="0031492F" w:rsidRDefault="006412FD" w:rsidP="006412FD">
      <w:r w:rsidRPr="0031492F">
        <w:t xml:space="preserve">According to the discussion, the donor-CU2 should indicate donor-CU1 the IAB-MT’s HO from donor-CU2 to donor-CU3, then the donor-CU1 can decide whether to perform DU migration or </w:t>
      </w:r>
      <w:r w:rsidR="00D038E2" w:rsidRPr="0031492F">
        <w:t>transport</w:t>
      </w:r>
      <w:r w:rsidRPr="0031492F">
        <w:t xml:space="preserve"> migration, after that, donor-CU1 </w:t>
      </w:r>
      <w:r w:rsidR="00472E21" w:rsidRPr="0031492F">
        <w:t xml:space="preserve">anyway will </w:t>
      </w:r>
      <w:r w:rsidRPr="0031492F">
        <w:t>send message to donor-CU3</w:t>
      </w:r>
      <w:r w:rsidR="00472E21" w:rsidRPr="0031492F">
        <w:t xml:space="preserve"> either to trigger DU migration or to trigger transport migration</w:t>
      </w:r>
      <w:r w:rsidRPr="0031492F">
        <w:t xml:space="preserve">.  </w:t>
      </w:r>
      <w:r w:rsidRPr="0031492F">
        <w:rPr>
          <w:lang w:val="en-US"/>
        </w:rPr>
        <w:t>Regarding how the donor-CU3 identify which UE (i.e. IAB-MT) is talking about, i.e. which IAB-MT ID is used, the following option can be considered:</w:t>
      </w:r>
    </w:p>
    <w:p w14:paraId="0916FA72" w14:textId="6340BE7C" w:rsidR="006412FD" w:rsidRPr="0031492F" w:rsidRDefault="006412FD" w:rsidP="006412FD">
      <w:pPr>
        <w:rPr>
          <w:lang w:val="en-US"/>
        </w:rPr>
      </w:pPr>
      <w:r w:rsidRPr="0031492F">
        <w:rPr>
          <w:lang w:val="en-US"/>
        </w:rPr>
        <w:t>-</w:t>
      </w:r>
      <w:r w:rsidRPr="0031492F">
        <w:rPr>
          <w:lang w:val="en-US"/>
        </w:rPr>
        <w:tab/>
        <w:t xml:space="preserve">Option A, </w:t>
      </w:r>
      <w:r w:rsidR="006E04AD" w:rsidRPr="0031492F">
        <w:rPr>
          <w:lang w:val="en-US"/>
        </w:rPr>
        <w:t>donor-</w:t>
      </w:r>
      <w:r w:rsidRPr="0031492F">
        <w:rPr>
          <w:lang w:val="en-US"/>
        </w:rPr>
        <w:t xml:space="preserve">CU2 send the </w:t>
      </w:r>
      <w:proofErr w:type="spellStart"/>
      <w:r w:rsidRPr="0031492F">
        <w:rPr>
          <w:lang w:val="en-US"/>
        </w:rPr>
        <w:t>XnAP</w:t>
      </w:r>
      <w:proofErr w:type="spellEnd"/>
      <w:r w:rsidRPr="0031492F">
        <w:rPr>
          <w:lang w:val="en-US"/>
        </w:rPr>
        <w:t xml:space="preserve"> UE ID allocated by </w:t>
      </w:r>
      <w:r w:rsidR="006E04AD" w:rsidRPr="0031492F">
        <w:rPr>
          <w:lang w:val="en-US"/>
        </w:rPr>
        <w:t>donor-</w:t>
      </w:r>
      <w:r w:rsidRPr="0031492F">
        <w:rPr>
          <w:lang w:val="en-US"/>
        </w:rPr>
        <w:t xml:space="preserve">CU3 to </w:t>
      </w:r>
      <w:r w:rsidR="006E04AD" w:rsidRPr="0031492F">
        <w:rPr>
          <w:lang w:val="en-US"/>
        </w:rPr>
        <w:t>donor-</w:t>
      </w:r>
      <w:r w:rsidRPr="0031492F">
        <w:rPr>
          <w:lang w:val="en-US"/>
        </w:rPr>
        <w:t xml:space="preserve">CU1, </w:t>
      </w:r>
      <w:r w:rsidR="006E04AD" w:rsidRPr="0031492F">
        <w:rPr>
          <w:lang w:val="en-US"/>
        </w:rPr>
        <w:t>donor-</w:t>
      </w:r>
      <w:r w:rsidRPr="0031492F">
        <w:rPr>
          <w:lang w:val="en-US"/>
        </w:rPr>
        <w:t xml:space="preserve">CU1 include this ID in the message sent to </w:t>
      </w:r>
      <w:r w:rsidR="006E04AD" w:rsidRPr="0031492F">
        <w:rPr>
          <w:lang w:val="en-US"/>
        </w:rPr>
        <w:t>donor-</w:t>
      </w:r>
      <w:r w:rsidRPr="0031492F">
        <w:rPr>
          <w:lang w:val="en-US"/>
        </w:rPr>
        <w:t>CU3</w:t>
      </w:r>
      <w:r w:rsidR="006E04AD" w:rsidRPr="0031492F">
        <w:rPr>
          <w:lang w:val="en-US"/>
        </w:rPr>
        <w:t>, as shown in Figure 2.</w:t>
      </w:r>
    </w:p>
    <w:p w14:paraId="5192A5E7" w14:textId="21D3FCCF" w:rsidR="006412FD" w:rsidRPr="0031492F" w:rsidRDefault="006412FD" w:rsidP="006412FD">
      <w:pPr>
        <w:rPr>
          <w:lang w:val="en-US"/>
        </w:rPr>
      </w:pPr>
      <w:r w:rsidRPr="0031492F">
        <w:rPr>
          <w:lang w:val="en-US"/>
        </w:rPr>
        <w:t>-</w:t>
      </w:r>
      <w:r w:rsidRPr="0031492F">
        <w:rPr>
          <w:lang w:val="en-US"/>
        </w:rPr>
        <w:tab/>
        <w:t xml:space="preserve">Option B, </w:t>
      </w:r>
      <w:r w:rsidR="006E04AD" w:rsidRPr="0031492F">
        <w:rPr>
          <w:lang w:val="en-US"/>
        </w:rPr>
        <w:t>donor-</w:t>
      </w:r>
      <w:r w:rsidRPr="0031492F">
        <w:rPr>
          <w:lang w:val="en-US"/>
        </w:rPr>
        <w:t xml:space="preserve">CU2 send the XnAP UE ID allocated by </w:t>
      </w:r>
      <w:r w:rsidR="006E04AD" w:rsidRPr="0031492F">
        <w:rPr>
          <w:lang w:val="en-US"/>
        </w:rPr>
        <w:t>donor-</w:t>
      </w:r>
      <w:r w:rsidRPr="0031492F">
        <w:rPr>
          <w:lang w:val="en-US"/>
        </w:rPr>
        <w:t>CU1 to</w:t>
      </w:r>
      <w:r w:rsidR="006E04AD" w:rsidRPr="0031492F">
        <w:rPr>
          <w:lang w:val="en-US"/>
        </w:rPr>
        <w:t xml:space="preserve"> donor-</w:t>
      </w:r>
      <w:r w:rsidRPr="0031492F">
        <w:rPr>
          <w:lang w:val="en-US"/>
        </w:rPr>
        <w:t xml:space="preserve">CU3, </w:t>
      </w:r>
      <w:r w:rsidR="006E04AD" w:rsidRPr="0031492F">
        <w:rPr>
          <w:lang w:val="en-US"/>
        </w:rPr>
        <w:t>donor-</w:t>
      </w:r>
      <w:r w:rsidRPr="0031492F">
        <w:rPr>
          <w:lang w:val="en-US"/>
        </w:rPr>
        <w:t xml:space="preserve">CU1 include this ID in the message sent to </w:t>
      </w:r>
      <w:r w:rsidR="006E04AD" w:rsidRPr="0031492F">
        <w:rPr>
          <w:lang w:val="en-US"/>
        </w:rPr>
        <w:t>donor-</w:t>
      </w:r>
      <w:r w:rsidRPr="0031492F">
        <w:rPr>
          <w:lang w:val="en-US"/>
        </w:rPr>
        <w:t>CU3</w:t>
      </w:r>
      <w:r w:rsidR="006E04AD" w:rsidRPr="0031492F">
        <w:rPr>
          <w:lang w:val="en-US"/>
        </w:rPr>
        <w:t>, as shown in Figure 3</w:t>
      </w:r>
      <w:r w:rsidRPr="0031492F">
        <w:rPr>
          <w:lang w:val="en-US"/>
        </w:rPr>
        <w:t>.</w:t>
      </w:r>
    </w:p>
    <w:p w14:paraId="462CFFC5" w14:textId="77777777" w:rsidR="006412FD" w:rsidRPr="0031492F" w:rsidRDefault="006412FD" w:rsidP="006412FD">
      <w:pPr>
        <w:keepNext/>
        <w:jc w:val="center"/>
      </w:pPr>
      <w:r w:rsidRPr="0031492F">
        <w:object w:dxaOrig="10240" w:dyaOrig="5301" w14:anchorId="7A52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197.9pt" o:ole="">
            <v:imagedata r:id="rId8" o:title=""/>
          </v:shape>
          <o:OLEObject Type="Embed" ProgID="Visio.Drawing.15" ShapeID="_x0000_i1025" DrawAspect="Content" ObjectID="_1742385832" r:id="rId9"/>
        </w:object>
      </w:r>
    </w:p>
    <w:p w14:paraId="01F37B7E" w14:textId="54AC705A" w:rsidR="006412FD" w:rsidRPr="0031492F" w:rsidRDefault="006412FD" w:rsidP="006412FD">
      <w:pPr>
        <w:pStyle w:val="ac"/>
        <w:jc w:val="center"/>
        <w:rPr>
          <w:sz w:val="20"/>
          <w:szCs w:val="20"/>
        </w:rPr>
      </w:pPr>
      <w:r w:rsidRPr="0031492F">
        <w:rPr>
          <w:sz w:val="20"/>
          <w:szCs w:val="20"/>
        </w:rPr>
        <w:t xml:space="preserve">Figure </w:t>
      </w:r>
      <w:r w:rsidRPr="0031492F">
        <w:rPr>
          <w:sz w:val="20"/>
          <w:szCs w:val="20"/>
        </w:rPr>
        <w:fldChar w:fldCharType="begin"/>
      </w:r>
      <w:r w:rsidRPr="0031492F">
        <w:rPr>
          <w:sz w:val="20"/>
          <w:szCs w:val="20"/>
        </w:rPr>
        <w:instrText xml:space="preserve"> SEQ Figure \* ARABIC </w:instrText>
      </w:r>
      <w:r w:rsidRPr="0031492F">
        <w:rPr>
          <w:sz w:val="20"/>
          <w:szCs w:val="20"/>
        </w:rPr>
        <w:fldChar w:fldCharType="separate"/>
      </w:r>
      <w:r w:rsidR="00701A94">
        <w:rPr>
          <w:noProof/>
          <w:sz w:val="20"/>
          <w:szCs w:val="20"/>
        </w:rPr>
        <w:t>1</w:t>
      </w:r>
      <w:r w:rsidRPr="0031492F">
        <w:rPr>
          <w:sz w:val="20"/>
          <w:szCs w:val="20"/>
        </w:rPr>
        <w:fldChar w:fldCharType="end"/>
      </w:r>
      <w:r w:rsidRPr="0031492F">
        <w:rPr>
          <w:sz w:val="20"/>
          <w:szCs w:val="20"/>
        </w:rPr>
        <w:t xml:space="preserve"> option A</w:t>
      </w:r>
    </w:p>
    <w:p w14:paraId="01E5D7F8" w14:textId="77777777" w:rsidR="006412FD" w:rsidRPr="0031492F" w:rsidRDefault="006412FD" w:rsidP="006412FD">
      <w:pPr>
        <w:keepNext/>
        <w:jc w:val="center"/>
      </w:pPr>
      <w:r w:rsidRPr="0031492F">
        <w:object w:dxaOrig="10240" w:dyaOrig="5301" w14:anchorId="3E7E766F">
          <v:shape id="_x0000_i1026" type="#_x0000_t75" style="width:375.4pt;height:194.05pt" o:ole="">
            <v:imagedata r:id="rId10" o:title=""/>
          </v:shape>
          <o:OLEObject Type="Embed" ProgID="Visio.Drawing.15" ShapeID="_x0000_i1026" DrawAspect="Content" ObjectID="_1742385833" r:id="rId11"/>
        </w:object>
      </w:r>
    </w:p>
    <w:p w14:paraId="74D54BD0" w14:textId="241492C4" w:rsidR="006412FD" w:rsidRPr="0031492F" w:rsidRDefault="006412FD" w:rsidP="006412FD">
      <w:pPr>
        <w:pStyle w:val="ac"/>
        <w:jc w:val="center"/>
        <w:rPr>
          <w:sz w:val="20"/>
          <w:szCs w:val="20"/>
          <w:lang w:val="en-US"/>
        </w:rPr>
      </w:pPr>
      <w:r w:rsidRPr="0031492F">
        <w:rPr>
          <w:sz w:val="20"/>
          <w:szCs w:val="20"/>
        </w:rPr>
        <w:t xml:space="preserve">Figure </w:t>
      </w:r>
      <w:r w:rsidRPr="0031492F">
        <w:rPr>
          <w:sz w:val="20"/>
          <w:szCs w:val="20"/>
        </w:rPr>
        <w:fldChar w:fldCharType="begin"/>
      </w:r>
      <w:r w:rsidRPr="0031492F">
        <w:rPr>
          <w:sz w:val="20"/>
          <w:szCs w:val="20"/>
        </w:rPr>
        <w:instrText xml:space="preserve"> SEQ Figure \* ARABIC </w:instrText>
      </w:r>
      <w:r w:rsidRPr="0031492F">
        <w:rPr>
          <w:sz w:val="20"/>
          <w:szCs w:val="20"/>
        </w:rPr>
        <w:fldChar w:fldCharType="separate"/>
      </w:r>
      <w:r w:rsidR="00701A94">
        <w:rPr>
          <w:noProof/>
          <w:sz w:val="20"/>
          <w:szCs w:val="20"/>
        </w:rPr>
        <w:t>2</w:t>
      </w:r>
      <w:r w:rsidRPr="0031492F">
        <w:rPr>
          <w:sz w:val="20"/>
          <w:szCs w:val="20"/>
        </w:rPr>
        <w:fldChar w:fldCharType="end"/>
      </w:r>
      <w:r w:rsidRPr="0031492F">
        <w:rPr>
          <w:sz w:val="20"/>
          <w:szCs w:val="20"/>
        </w:rPr>
        <w:t xml:space="preserve"> option B</w:t>
      </w:r>
    </w:p>
    <w:p w14:paraId="35CA6FDD" w14:textId="3C7D2A99" w:rsidR="006412FD" w:rsidRPr="0031492F" w:rsidRDefault="006412FD" w:rsidP="006412FD">
      <w:pPr>
        <w:rPr>
          <w:b/>
        </w:rPr>
      </w:pPr>
      <w:r w:rsidRPr="0031492F">
        <w:rPr>
          <w:b/>
        </w:rPr>
        <w:t xml:space="preserve">Proposal </w:t>
      </w:r>
      <w:r w:rsidR="0031492F">
        <w:rPr>
          <w:b/>
        </w:rPr>
        <w:t>1</w:t>
      </w:r>
      <w:r w:rsidRPr="0031492F">
        <w:rPr>
          <w:b/>
        </w:rPr>
        <w:t xml:space="preserve">, RAN3 to </w:t>
      </w:r>
      <w:r w:rsidR="008C1A7E" w:rsidRPr="0031492F">
        <w:rPr>
          <w:b/>
        </w:rPr>
        <w:t>down-select the following options on</w:t>
      </w:r>
      <w:r w:rsidRPr="0031492F">
        <w:rPr>
          <w:b/>
        </w:rPr>
        <w:t xml:space="preserve"> how the target donor CU of IAB-MT identify </w:t>
      </w:r>
      <w:r w:rsidR="000548E9" w:rsidRPr="0031492F">
        <w:rPr>
          <w:b/>
        </w:rPr>
        <w:t>the</w:t>
      </w:r>
      <w:r w:rsidRPr="0031492F">
        <w:rPr>
          <w:b/>
        </w:rPr>
        <w:t xml:space="preserve"> UE (i.e. IAB-MT) when receiving the </w:t>
      </w:r>
      <w:r w:rsidR="000548E9" w:rsidRPr="0031492F">
        <w:rPr>
          <w:b/>
        </w:rPr>
        <w:t xml:space="preserve">migration related </w:t>
      </w:r>
      <w:r w:rsidRPr="0031492F">
        <w:rPr>
          <w:b/>
        </w:rPr>
        <w:t>message from the donor</w:t>
      </w:r>
      <w:r w:rsidR="000548E9" w:rsidRPr="0031492F">
        <w:rPr>
          <w:b/>
        </w:rPr>
        <w:t>-</w:t>
      </w:r>
      <w:r w:rsidRPr="0031492F">
        <w:rPr>
          <w:b/>
        </w:rPr>
        <w:t>CU of the IAB-DU</w:t>
      </w:r>
    </w:p>
    <w:p w14:paraId="32324116" w14:textId="15E8BE06" w:rsidR="006412FD" w:rsidRPr="0031492F" w:rsidRDefault="006412FD" w:rsidP="006412FD">
      <w:pPr>
        <w:rPr>
          <w:b/>
          <w:lang w:val="en-US"/>
        </w:rPr>
      </w:pPr>
      <w:r w:rsidRPr="0031492F">
        <w:rPr>
          <w:b/>
        </w:rPr>
        <w:t xml:space="preserve"> </w:t>
      </w:r>
      <w:r w:rsidRPr="0031492F">
        <w:rPr>
          <w:b/>
          <w:lang w:val="en-US"/>
        </w:rPr>
        <w:t>-</w:t>
      </w:r>
      <w:r w:rsidRPr="0031492F">
        <w:rPr>
          <w:b/>
          <w:lang w:val="en-US"/>
        </w:rPr>
        <w:tab/>
        <w:t xml:space="preserve">Option A, </w:t>
      </w:r>
      <w:r w:rsidR="000548E9" w:rsidRPr="0031492F">
        <w:rPr>
          <w:b/>
          <w:lang w:val="en-US"/>
        </w:rPr>
        <w:t>source donor-CU of</w:t>
      </w:r>
      <w:r w:rsidRPr="0031492F">
        <w:rPr>
          <w:b/>
          <w:lang w:val="en-US"/>
        </w:rPr>
        <w:t xml:space="preserve"> </w:t>
      </w:r>
      <w:r w:rsidR="000548E9" w:rsidRPr="0031492F">
        <w:rPr>
          <w:b/>
          <w:lang w:val="en-US"/>
        </w:rPr>
        <w:t xml:space="preserve">IAB-MT </w:t>
      </w:r>
      <w:r w:rsidRPr="0031492F">
        <w:rPr>
          <w:b/>
          <w:lang w:val="en-US"/>
        </w:rPr>
        <w:t xml:space="preserve">send the </w:t>
      </w:r>
      <w:proofErr w:type="spellStart"/>
      <w:r w:rsidRPr="0031492F">
        <w:rPr>
          <w:b/>
          <w:lang w:val="en-US"/>
        </w:rPr>
        <w:t>XnAP</w:t>
      </w:r>
      <w:proofErr w:type="spellEnd"/>
      <w:r w:rsidRPr="0031492F">
        <w:rPr>
          <w:b/>
          <w:lang w:val="en-US"/>
        </w:rPr>
        <w:t xml:space="preserve"> UE ID allocated by </w:t>
      </w:r>
      <w:r w:rsidR="000548E9" w:rsidRPr="0031492F">
        <w:rPr>
          <w:b/>
          <w:lang w:val="en-US"/>
        </w:rPr>
        <w:t xml:space="preserve">target donor-CU of IAB-MT </w:t>
      </w:r>
      <w:r w:rsidRPr="0031492F">
        <w:rPr>
          <w:b/>
          <w:lang w:val="en-US"/>
        </w:rPr>
        <w:t xml:space="preserve">to </w:t>
      </w:r>
      <w:r w:rsidR="000548E9" w:rsidRPr="0031492F">
        <w:rPr>
          <w:b/>
          <w:lang w:val="en-US"/>
        </w:rPr>
        <w:t>donor-CU of IAB-DU</w:t>
      </w:r>
      <w:r w:rsidRPr="0031492F">
        <w:rPr>
          <w:b/>
          <w:lang w:val="en-US"/>
        </w:rPr>
        <w:t xml:space="preserve">, </w:t>
      </w:r>
      <w:r w:rsidR="000548E9" w:rsidRPr="0031492F">
        <w:rPr>
          <w:b/>
          <w:lang w:val="en-US"/>
        </w:rPr>
        <w:t>donor-CU of IAB-DU</w:t>
      </w:r>
      <w:r w:rsidRPr="0031492F">
        <w:rPr>
          <w:b/>
          <w:lang w:val="en-US"/>
        </w:rPr>
        <w:t xml:space="preserve"> include this ID in the message sent to </w:t>
      </w:r>
      <w:r w:rsidR="000548E9" w:rsidRPr="0031492F">
        <w:rPr>
          <w:b/>
          <w:lang w:val="en-US"/>
        </w:rPr>
        <w:t>target donor-CU of IAB-MT</w:t>
      </w:r>
      <w:r w:rsidRPr="0031492F">
        <w:rPr>
          <w:b/>
          <w:lang w:val="en-US"/>
        </w:rPr>
        <w:t>.</w:t>
      </w:r>
    </w:p>
    <w:p w14:paraId="38F421F0" w14:textId="70BD6724" w:rsidR="006412FD" w:rsidRPr="0031492F" w:rsidRDefault="006412FD" w:rsidP="00521DA4">
      <w:pPr>
        <w:rPr>
          <w:b/>
          <w:lang w:val="en-US"/>
        </w:rPr>
      </w:pPr>
      <w:r w:rsidRPr="0031492F">
        <w:rPr>
          <w:b/>
          <w:lang w:val="en-US"/>
        </w:rPr>
        <w:t>-</w:t>
      </w:r>
      <w:r w:rsidRPr="0031492F">
        <w:rPr>
          <w:b/>
          <w:lang w:val="en-US"/>
        </w:rPr>
        <w:tab/>
        <w:t xml:space="preserve">Option B, </w:t>
      </w:r>
      <w:r w:rsidR="000548E9" w:rsidRPr="0031492F">
        <w:rPr>
          <w:b/>
          <w:lang w:val="en-US"/>
        </w:rPr>
        <w:t>source donor-CU of IAB-MT</w:t>
      </w:r>
      <w:r w:rsidRPr="0031492F">
        <w:rPr>
          <w:b/>
          <w:lang w:val="en-US"/>
        </w:rPr>
        <w:t xml:space="preserve"> send the </w:t>
      </w:r>
      <w:proofErr w:type="spellStart"/>
      <w:r w:rsidRPr="0031492F">
        <w:rPr>
          <w:b/>
          <w:lang w:val="en-US"/>
        </w:rPr>
        <w:t>XnAP</w:t>
      </w:r>
      <w:proofErr w:type="spellEnd"/>
      <w:r w:rsidRPr="0031492F">
        <w:rPr>
          <w:b/>
          <w:lang w:val="en-US"/>
        </w:rPr>
        <w:t xml:space="preserve"> UE ID allocated by </w:t>
      </w:r>
      <w:r w:rsidR="000548E9" w:rsidRPr="0031492F">
        <w:rPr>
          <w:b/>
          <w:lang w:val="en-US"/>
        </w:rPr>
        <w:t>donor-CU of IAB-DU</w:t>
      </w:r>
      <w:r w:rsidRPr="0031492F">
        <w:rPr>
          <w:b/>
          <w:lang w:val="en-US"/>
        </w:rPr>
        <w:t xml:space="preserve"> to </w:t>
      </w:r>
      <w:r w:rsidR="000548E9" w:rsidRPr="0031492F">
        <w:rPr>
          <w:b/>
          <w:lang w:val="en-US"/>
        </w:rPr>
        <w:t>target donor-CU of IAB-MT</w:t>
      </w:r>
      <w:r w:rsidRPr="0031492F">
        <w:rPr>
          <w:b/>
          <w:lang w:val="en-US"/>
        </w:rPr>
        <w:t xml:space="preserve">, </w:t>
      </w:r>
      <w:r w:rsidR="000548E9" w:rsidRPr="0031492F">
        <w:rPr>
          <w:b/>
          <w:lang w:val="en-US"/>
        </w:rPr>
        <w:t xml:space="preserve">donor-CU of IAB-DU </w:t>
      </w:r>
      <w:r w:rsidRPr="0031492F">
        <w:rPr>
          <w:b/>
          <w:lang w:val="en-US"/>
        </w:rPr>
        <w:t xml:space="preserve">include this ID in the message sent to </w:t>
      </w:r>
      <w:r w:rsidR="000548E9" w:rsidRPr="0031492F">
        <w:rPr>
          <w:b/>
          <w:lang w:val="en-US"/>
        </w:rPr>
        <w:t>target donor-CU of IAB-MT</w:t>
      </w:r>
      <w:r w:rsidRPr="0031492F">
        <w:rPr>
          <w:b/>
          <w:lang w:val="en-US"/>
        </w:rPr>
        <w:t>.</w:t>
      </w:r>
    </w:p>
    <w:p w14:paraId="7695B3CD" w14:textId="0F5FCB60" w:rsidR="00854F93" w:rsidRPr="0031492F" w:rsidRDefault="00854F93" w:rsidP="00DC0907">
      <w:pPr>
        <w:spacing w:before="120" w:after="120"/>
        <w:outlineLvl w:val="2"/>
        <w:rPr>
          <w:b/>
          <w:bCs/>
          <w:i/>
          <w:color w:val="0000FF"/>
          <w:u w:val="single"/>
        </w:rPr>
      </w:pPr>
      <w:r w:rsidRPr="0031492F">
        <w:rPr>
          <w:b/>
          <w:bCs/>
          <w:i/>
          <w:color w:val="0000FF"/>
          <w:u w:val="single"/>
        </w:rPr>
        <w:t xml:space="preserve">Issue 2, How the mIAB-MT ID is maintained across migrations </w:t>
      </w:r>
    </w:p>
    <w:p w14:paraId="5995E35B" w14:textId="1F74DB99" w:rsidR="00854F93" w:rsidRPr="0031492F" w:rsidRDefault="00854F93" w:rsidP="00854F93">
      <w:r w:rsidRPr="0031492F">
        <w:rPr>
          <w:noProof/>
        </w:rPr>
        <mc:AlternateContent>
          <mc:Choice Requires="wps">
            <w:drawing>
              <wp:anchor distT="0" distB="0" distL="114300" distR="114300" simplePos="0" relativeHeight="251662336" behindDoc="0" locked="0" layoutInCell="1" allowOverlap="1" wp14:anchorId="0690DC0A" wp14:editId="4D2A6D7F">
                <wp:simplePos x="0" y="0"/>
                <wp:positionH relativeFrom="column">
                  <wp:posOffset>78740</wp:posOffset>
                </wp:positionH>
                <wp:positionV relativeFrom="paragraph">
                  <wp:posOffset>447675</wp:posOffset>
                </wp:positionV>
                <wp:extent cx="5746750" cy="1029970"/>
                <wp:effectExtent l="0" t="0" r="25400" b="17780"/>
                <wp:wrapTopAndBottom/>
                <wp:docPr id="3" name="文本框 3"/>
                <wp:cNvGraphicFramePr/>
                <a:graphic xmlns:a="http://schemas.openxmlformats.org/drawingml/2006/main">
                  <a:graphicData uri="http://schemas.microsoft.com/office/word/2010/wordprocessingShape">
                    <wps:wsp>
                      <wps:cNvSpPr txBox="1"/>
                      <wps:spPr>
                        <a:xfrm>
                          <a:off x="0" y="0"/>
                          <a:ext cx="5746750" cy="1029970"/>
                        </a:xfrm>
                        <a:prstGeom prst="rect">
                          <a:avLst/>
                        </a:prstGeom>
                        <a:solidFill>
                          <a:schemeClr val="lt1"/>
                        </a:solidFill>
                        <a:ln w="6350">
                          <a:solidFill>
                            <a:prstClr val="black"/>
                          </a:solidFill>
                        </a:ln>
                      </wps:spPr>
                      <wps:txbx>
                        <w:txbxContent>
                          <w:p w14:paraId="5D11645E" w14:textId="77777777" w:rsidR="00854F93" w:rsidRPr="00854F93" w:rsidRDefault="00854F93" w:rsidP="00854F93">
                            <w:pPr>
                              <w:pStyle w:val="B1"/>
                              <w:ind w:left="586"/>
                              <w:rPr>
                                <w:i/>
                                <w:sz w:val="22"/>
                                <w:lang w:eastAsia="zh-CN"/>
                              </w:rPr>
                            </w:pPr>
                            <w:r w:rsidRPr="00854F93">
                              <w:rPr>
                                <w:i/>
                                <w:sz w:val="22"/>
                                <w:lang w:eastAsia="zh-CN"/>
                              </w:rPr>
                              <w:t>12.</w:t>
                            </w:r>
                            <w:r w:rsidRPr="00854F93">
                              <w:rPr>
                                <w:i/>
                                <w:sz w:val="22"/>
                                <w:lang w:eastAsia="zh-CN"/>
                              </w:rPr>
                              <w:tab/>
                              <w:t>The target IAB-donor-CU sends UE CONTEXT RELEASE message to the source IAB-donor-CU.</w:t>
                            </w:r>
                          </w:p>
                          <w:p w14:paraId="7F4459DD" w14:textId="77777777" w:rsidR="00854F93" w:rsidRPr="00854F93" w:rsidRDefault="00854F93" w:rsidP="00854F93">
                            <w:pPr>
                              <w:pStyle w:val="NO"/>
                              <w:rPr>
                                <w:i/>
                                <w:sz w:val="22"/>
                                <w:lang w:eastAsia="zh-CN"/>
                              </w:rPr>
                            </w:pPr>
                            <w:r w:rsidRPr="00854F93">
                              <w:rPr>
                                <w:i/>
                                <w:color w:val="000000"/>
                                <w:sz w:val="22"/>
                                <w:lang w:eastAsia="zh-CN"/>
                              </w:rPr>
                              <w:t>NOTE:</w:t>
                            </w:r>
                            <w:r w:rsidRPr="00854F93">
                              <w:rPr>
                                <w:i/>
                                <w:color w:val="000000"/>
                                <w:sz w:val="22"/>
                                <w:lang w:eastAsia="zh-CN"/>
                              </w:rPr>
                              <w:tab/>
                              <w:t xml:space="preserve">The </w:t>
                            </w:r>
                            <w:proofErr w:type="spellStart"/>
                            <w:r w:rsidRPr="00854F93">
                              <w:rPr>
                                <w:i/>
                                <w:color w:val="000000"/>
                                <w:sz w:val="22"/>
                                <w:lang w:eastAsia="zh-CN"/>
                              </w:rPr>
                              <w:t>XnAP</w:t>
                            </w:r>
                            <w:proofErr w:type="spellEnd"/>
                            <w:r w:rsidRPr="00854F93">
                              <w:rPr>
                                <w:i/>
                                <w:color w:val="000000"/>
                                <w:sz w:val="22"/>
                                <w:lang w:eastAsia="zh-CN"/>
                              </w:rPr>
                              <w:t xml:space="preserve"> UE IDs of the migrating node are retained at target and source IAB-donor-CU as long as the target path is used for </w:t>
                            </w:r>
                            <w:r w:rsidRPr="00854F93">
                              <w:rPr>
                                <w:bCs/>
                                <w:i/>
                                <w:color w:val="000000"/>
                                <w:sz w:val="22"/>
                              </w:rPr>
                              <w:t>transport</w:t>
                            </w:r>
                            <w:r w:rsidRPr="00854F93">
                              <w:rPr>
                                <w:i/>
                                <w:color w:val="000000"/>
                                <w:sz w:val="22"/>
                                <w:lang w:eastAsia="zh-CN"/>
                              </w:rPr>
                              <w:t xml:space="preserve"> of traffic between the migrating node and the source IAB-donor-CU.</w:t>
                            </w:r>
                          </w:p>
                          <w:p w14:paraId="796B9354" w14:textId="77777777" w:rsidR="00854F93" w:rsidRDefault="00854F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90DC0A" id="文本框 3" o:spid="_x0000_s1027" type="#_x0000_t202" style="position:absolute;margin-left:6.2pt;margin-top:35.25pt;width:452.5pt;height:81.1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" fillcolor="white [3201]" strokeweight=".5pt">
                <v:textbox>
                  <w:txbxContent>
                    <w:p w14:paraId="5D11645E" w14:textId="77777777" w:rsidR="00854F93" w:rsidRPr="00854F93" w:rsidRDefault="00854F93" w:rsidP="00854F93">
                      <w:pPr>
                        <w:pStyle w:val="B1"/>
                        <w:ind w:left="586"/>
                        <w:rPr>
                          <w:i/>
                          <w:sz w:val="22"/>
                          <w:lang w:eastAsia="zh-CN"/>
                        </w:rPr>
                      </w:pPr>
                      <w:r w:rsidRPr="00854F93">
                        <w:rPr>
                          <w:i/>
                          <w:sz w:val="22"/>
                          <w:lang w:eastAsia="zh-CN"/>
                        </w:rPr>
                        <w:t>12.</w:t>
                      </w:r>
                      <w:r w:rsidRPr="00854F93">
                        <w:rPr>
                          <w:i/>
                          <w:sz w:val="22"/>
                          <w:lang w:eastAsia="zh-CN"/>
                        </w:rPr>
                        <w:tab/>
                        <w:t>The target IAB-donor-CU sends UE CONTEXT RELEASE message to the source IAB-donor-CU.</w:t>
                      </w:r>
                    </w:p>
                    <w:p w14:paraId="7F4459DD" w14:textId="77777777" w:rsidR="00854F93" w:rsidRPr="00854F93" w:rsidRDefault="00854F93" w:rsidP="00854F93">
                      <w:pPr>
                        <w:pStyle w:val="NO"/>
                        <w:rPr>
                          <w:i/>
                          <w:sz w:val="22"/>
                          <w:lang w:eastAsia="zh-CN"/>
                        </w:rPr>
                      </w:pPr>
                      <w:r w:rsidRPr="00854F93">
                        <w:rPr>
                          <w:i/>
                          <w:color w:val="000000"/>
                          <w:sz w:val="22"/>
                          <w:lang w:eastAsia="zh-CN"/>
                        </w:rPr>
                        <w:t>NOTE:</w:t>
                      </w:r>
                      <w:r w:rsidRPr="00854F93">
                        <w:rPr>
                          <w:i/>
                          <w:color w:val="000000"/>
                          <w:sz w:val="22"/>
                          <w:lang w:eastAsia="zh-CN"/>
                        </w:rPr>
                        <w:tab/>
                        <w:t xml:space="preserve">The </w:t>
                      </w:r>
                      <w:proofErr w:type="spellStart"/>
                      <w:r w:rsidRPr="00854F93">
                        <w:rPr>
                          <w:i/>
                          <w:color w:val="000000"/>
                          <w:sz w:val="22"/>
                          <w:lang w:eastAsia="zh-CN"/>
                        </w:rPr>
                        <w:t>XnAP</w:t>
                      </w:r>
                      <w:proofErr w:type="spellEnd"/>
                      <w:r w:rsidRPr="00854F93">
                        <w:rPr>
                          <w:i/>
                          <w:color w:val="000000"/>
                          <w:sz w:val="22"/>
                          <w:lang w:eastAsia="zh-CN"/>
                        </w:rPr>
                        <w:t xml:space="preserve"> UE IDs of the migrating node are retained at target and source IAB-donor-CU as long as the target path is used for </w:t>
                      </w:r>
                      <w:r w:rsidRPr="00854F93">
                        <w:rPr>
                          <w:bCs/>
                          <w:i/>
                          <w:color w:val="000000"/>
                          <w:sz w:val="22"/>
                        </w:rPr>
                        <w:t>transport</w:t>
                      </w:r>
                      <w:r w:rsidRPr="00854F93">
                        <w:rPr>
                          <w:i/>
                          <w:color w:val="000000"/>
                          <w:sz w:val="22"/>
                          <w:lang w:eastAsia="zh-CN"/>
                        </w:rPr>
                        <w:t xml:space="preserve"> of traffic between the migrating node and the source IAB-donor-CU.</w:t>
                      </w:r>
                    </w:p>
                    <w:p w14:paraId="796B9354" w14:textId="77777777" w:rsidR="00854F93" w:rsidRDefault="00854F93"/>
                  </w:txbxContent>
                </v:textbox>
                <w10:wrap type="topAndBottom"/>
              </v:shape>
            </w:pict>
          </mc:Fallback>
        </mc:AlternateContent>
      </w:r>
      <w:r w:rsidRPr="0031492F">
        <w:t>According to below description of partial migration procedure in TS 38.401, after last partial migration, the donor-CU1 and donor-CU2 retain the XnAP UE IDs of the IAB-MT.</w:t>
      </w:r>
    </w:p>
    <w:p w14:paraId="11E8AE87" w14:textId="4074D059" w:rsidR="00854F93" w:rsidRPr="0031492F" w:rsidRDefault="00854F93" w:rsidP="00854F93">
      <w:r w:rsidRPr="0031492F">
        <w:t xml:space="preserve">However, if one more partial migration is performed, there’s no need for CU1 and CU2 to retain the IAB-MT IDs, and in addition, after IAB-node’s </w:t>
      </w:r>
      <w:r w:rsidR="003750FE" w:rsidRPr="0031492F">
        <w:t>following</w:t>
      </w:r>
      <w:r w:rsidRPr="0031492F">
        <w:t xml:space="preserve"> partial migration or full migration to the CU3, CU2 needs to release the transport path and the IAB-MT’s context, and we think RAN3 needs to discuss </w:t>
      </w:r>
      <w:r w:rsidR="003750FE" w:rsidRPr="0031492F">
        <w:t>how</w:t>
      </w:r>
      <w:r w:rsidRPr="0031492F">
        <w:t xml:space="preserve"> to release the retained IDs and transport path </w:t>
      </w:r>
      <w:r w:rsidR="003750FE" w:rsidRPr="0031492F">
        <w:t>in</w:t>
      </w:r>
      <w:r w:rsidRPr="0031492F">
        <w:t xml:space="preserve"> </w:t>
      </w:r>
      <w:r w:rsidR="003750FE" w:rsidRPr="0031492F">
        <w:t>donor-</w:t>
      </w:r>
      <w:r w:rsidRPr="0031492F">
        <w:t>CU2</w:t>
      </w:r>
      <w:r w:rsidR="003750FE" w:rsidRPr="0031492F">
        <w:t>’s topology</w:t>
      </w:r>
      <w:r w:rsidRPr="0031492F">
        <w:t xml:space="preserve"> and whether the CU2 needs to be informed about the completion of IAB-node’s </w:t>
      </w:r>
      <w:r w:rsidR="003750FE" w:rsidRPr="0031492F">
        <w:t>following</w:t>
      </w:r>
      <w:r w:rsidRPr="0031492F">
        <w:t xml:space="preserve"> partial migration or full migration</w:t>
      </w:r>
      <w:r w:rsidR="003750FE" w:rsidRPr="0031492F">
        <w:t xml:space="preserve">, if yes, we think </w:t>
      </w:r>
      <w:r w:rsidRPr="0031492F">
        <w:t xml:space="preserve">the potential impacts are shown in the </w:t>
      </w:r>
      <w:r w:rsidR="00C84652" w:rsidRPr="0031492F">
        <w:t>F</w:t>
      </w:r>
      <w:r w:rsidRPr="0031492F">
        <w:t>igure</w:t>
      </w:r>
      <w:r w:rsidR="00C84652" w:rsidRPr="0031492F">
        <w:t xml:space="preserve"> 4</w:t>
      </w:r>
      <w:r w:rsidRPr="0031492F">
        <w:t xml:space="preserve"> below in step </w:t>
      </w:r>
      <w:r w:rsidR="00C84652" w:rsidRPr="0031492F">
        <w:t>9</w:t>
      </w:r>
      <w:r w:rsidRPr="0031492F">
        <w:t xml:space="preserve">. </w:t>
      </w:r>
    </w:p>
    <w:p w14:paraId="2DA8A897" w14:textId="5828162A" w:rsidR="00854F93" w:rsidRPr="0031492F" w:rsidRDefault="00241854" w:rsidP="00854F93">
      <w:pPr>
        <w:keepNext/>
        <w:jc w:val="center"/>
      </w:pPr>
      <w:r w:rsidRPr="0031492F">
        <w:object w:dxaOrig="10341" w:dyaOrig="9520" w14:anchorId="48906619">
          <v:shape id="_x0000_i1027" type="#_x0000_t75" style="width:401.2pt;height:369.25pt" o:ole="">
            <v:imagedata r:id="rId12" o:title=""/>
          </v:shape>
          <o:OLEObject Type="Embed" ProgID="Visio.Drawing.15" ShapeID="_x0000_i1027" DrawAspect="Content" ObjectID="_1742385834" r:id="rId13"/>
        </w:object>
      </w:r>
    </w:p>
    <w:p w14:paraId="267C18D5" w14:textId="7A484DCF" w:rsidR="00854F93" w:rsidRPr="0031492F" w:rsidRDefault="00854F93" w:rsidP="00854F93">
      <w:pPr>
        <w:pStyle w:val="ac"/>
        <w:jc w:val="center"/>
        <w:rPr>
          <w:sz w:val="20"/>
          <w:szCs w:val="20"/>
        </w:rPr>
      </w:pPr>
      <w:r w:rsidRPr="0031492F">
        <w:rPr>
          <w:sz w:val="20"/>
          <w:szCs w:val="20"/>
        </w:rPr>
        <w:t xml:space="preserve">Figure </w:t>
      </w:r>
      <w:r w:rsidRPr="0031492F">
        <w:rPr>
          <w:sz w:val="20"/>
          <w:szCs w:val="20"/>
        </w:rPr>
        <w:fldChar w:fldCharType="begin"/>
      </w:r>
      <w:r w:rsidRPr="0031492F">
        <w:rPr>
          <w:sz w:val="20"/>
          <w:szCs w:val="20"/>
        </w:rPr>
        <w:instrText xml:space="preserve"> SEQ Figure \* ARABIC </w:instrText>
      </w:r>
      <w:r w:rsidRPr="0031492F">
        <w:rPr>
          <w:sz w:val="20"/>
          <w:szCs w:val="20"/>
        </w:rPr>
        <w:fldChar w:fldCharType="separate"/>
      </w:r>
      <w:r w:rsidR="006B56B6" w:rsidRPr="0031492F">
        <w:rPr>
          <w:noProof/>
          <w:sz w:val="20"/>
          <w:szCs w:val="20"/>
        </w:rPr>
        <w:t>4</w:t>
      </w:r>
      <w:r w:rsidRPr="0031492F">
        <w:rPr>
          <w:sz w:val="20"/>
          <w:szCs w:val="20"/>
        </w:rPr>
        <w:fldChar w:fldCharType="end"/>
      </w:r>
      <w:r w:rsidRPr="0031492F">
        <w:rPr>
          <w:sz w:val="20"/>
          <w:szCs w:val="20"/>
        </w:rPr>
        <w:t xml:space="preserve"> migration</w:t>
      </w:r>
      <w:r w:rsidR="00241854" w:rsidRPr="0031492F">
        <w:rPr>
          <w:sz w:val="20"/>
          <w:szCs w:val="20"/>
        </w:rPr>
        <w:t xml:space="preserve"> completion notification</w:t>
      </w:r>
    </w:p>
    <w:p w14:paraId="119ED439" w14:textId="610E953C" w:rsidR="00854F93" w:rsidRPr="0031492F" w:rsidRDefault="003750FE" w:rsidP="00854F93">
      <w:pPr>
        <w:spacing w:before="120" w:after="120"/>
        <w:rPr>
          <w:b/>
          <w:bCs/>
          <w:i/>
          <w:color w:val="0000FF"/>
        </w:rPr>
      </w:pPr>
      <w:r w:rsidRPr="0031492F">
        <w:rPr>
          <w:b/>
        </w:rPr>
        <w:t>Proposal</w:t>
      </w:r>
      <w:r w:rsidR="00CF5628" w:rsidRPr="0031492F">
        <w:rPr>
          <w:b/>
        </w:rPr>
        <w:t xml:space="preserve"> </w:t>
      </w:r>
      <w:r w:rsidR="00347B7E">
        <w:rPr>
          <w:b/>
        </w:rPr>
        <w:t>2</w:t>
      </w:r>
      <w:r w:rsidRPr="0031492F">
        <w:rPr>
          <w:b/>
        </w:rPr>
        <w:t xml:space="preserve">, RAN3 to discuss </w:t>
      </w:r>
      <w:r w:rsidR="00C608E9" w:rsidRPr="0031492F">
        <w:rPr>
          <w:b/>
        </w:rPr>
        <w:t>whether</w:t>
      </w:r>
      <w:r w:rsidRPr="0031492F">
        <w:rPr>
          <w:b/>
        </w:rPr>
        <w:t xml:space="preserve"> the source IAB-donor-CU of the IAB-MT</w:t>
      </w:r>
      <w:r w:rsidR="00C608E9" w:rsidRPr="0031492F">
        <w:rPr>
          <w:b/>
        </w:rPr>
        <w:t xml:space="preserve"> needs to be informed about the</w:t>
      </w:r>
      <w:r w:rsidRPr="0031492F">
        <w:rPr>
          <w:b/>
        </w:rPr>
        <w:t xml:space="preserve"> </w:t>
      </w:r>
      <w:r w:rsidR="00C608E9" w:rsidRPr="0031492F">
        <w:rPr>
          <w:b/>
        </w:rPr>
        <w:t xml:space="preserve">completion of the </w:t>
      </w:r>
      <w:r w:rsidR="00C84652" w:rsidRPr="0031492F">
        <w:rPr>
          <w:b/>
        </w:rPr>
        <w:t>DU</w:t>
      </w:r>
      <w:r w:rsidR="00C608E9" w:rsidRPr="0031492F">
        <w:rPr>
          <w:b/>
        </w:rPr>
        <w:t xml:space="preserve"> migration</w:t>
      </w:r>
      <w:r w:rsidR="00C84652" w:rsidRPr="0031492F">
        <w:rPr>
          <w:b/>
        </w:rPr>
        <w:t xml:space="preserve"> or transport migration</w:t>
      </w:r>
      <w:r w:rsidR="00C608E9" w:rsidRPr="0031492F">
        <w:rPr>
          <w:b/>
        </w:rPr>
        <w:t xml:space="preserve"> </w:t>
      </w:r>
      <w:r w:rsidRPr="0031492F">
        <w:rPr>
          <w:b/>
        </w:rPr>
        <w:t xml:space="preserve">to release </w:t>
      </w:r>
      <w:r w:rsidR="00C608E9" w:rsidRPr="0031492F">
        <w:rPr>
          <w:b/>
        </w:rPr>
        <w:t xml:space="preserve">IAB-node related context including </w:t>
      </w:r>
      <w:proofErr w:type="spellStart"/>
      <w:r w:rsidR="00C84652" w:rsidRPr="0031492F">
        <w:rPr>
          <w:b/>
        </w:rPr>
        <w:t>XnAP</w:t>
      </w:r>
      <w:proofErr w:type="spellEnd"/>
      <w:r w:rsidR="00C84652" w:rsidRPr="0031492F">
        <w:rPr>
          <w:b/>
        </w:rPr>
        <w:t xml:space="preserve"> </w:t>
      </w:r>
      <w:r w:rsidR="00C608E9" w:rsidRPr="0031492F">
        <w:rPr>
          <w:b/>
        </w:rPr>
        <w:t>UE ID and transport path.</w:t>
      </w:r>
    </w:p>
    <w:p w14:paraId="51A5F29E" w14:textId="6A7F2FB7" w:rsidR="00854F93" w:rsidRPr="0031492F" w:rsidRDefault="00854F93" w:rsidP="00DC0907">
      <w:pPr>
        <w:spacing w:before="120" w:after="120"/>
        <w:outlineLvl w:val="2"/>
        <w:rPr>
          <w:b/>
          <w:bCs/>
          <w:i/>
          <w:color w:val="0000FF"/>
          <w:u w:val="single"/>
        </w:rPr>
      </w:pPr>
      <w:r w:rsidRPr="0031492F">
        <w:rPr>
          <w:b/>
          <w:bCs/>
          <w:i/>
          <w:color w:val="0000FF"/>
          <w:u w:val="single"/>
        </w:rPr>
        <w:t xml:space="preserve">Issue 3, </w:t>
      </w:r>
      <w:r w:rsidR="006C3617" w:rsidRPr="0031492F">
        <w:rPr>
          <w:b/>
          <w:bCs/>
          <w:i/>
          <w:color w:val="0000FF"/>
          <w:u w:val="single"/>
        </w:rPr>
        <w:t xml:space="preserve">collision between </w:t>
      </w:r>
      <w:r w:rsidR="00411221" w:rsidRPr="0031492F">
        <w:rPr>
          <w:b/>
          <w:bCs/>
          <w:i/>
          <w:color w:val="0000FF"/>
          <w:u w:val="single"/>
        </w:rPr>
        <w:t>DU migration and MT migration</w:t>
      </w:r>
    </w:p>
    <w:p w14:paraId="4CF84EDE" w14:textId="77777777" w:rsidR="009A695F" w:rsidRPr="0031492F" w:rsidRDefault="009A695F" w:rsidP="009A695F">
      <w:pPr>
        <w:pStyle w:val="Agreement"/>
        <w:numPr>
          <w:ilvl w:val="1"/>
          <w:numId w:val="27"/>
        </w:numPr>
        <w:tabs>
          <w:tab w:val="left" w:pos="720"/>
        </w:tabs>
        <w:rPr>
          <w:rFonts w:ascii="Times New Roman" w:hAnsi="Times New Roman"/>
          <w:b w:val="0"/>
          <w:szCs w:val="20"/>
          <w:highlight w:val="yellow"/>
        </w:rPr>
      </w:pPr>
      <w:r w:rsidRPr="0031492F">
        <w:rPr>
          <w:rFonts w:ascii="Times New Roman" w:hAnsi="Times New Roman"/>
          <w:b w:val="0"/>
          <w:szCs w:val="20"/>
          <w:highlight w:val="yellow"/>
        </w:rPr>
        <w:t xml:space="preserve">Can DU migration and MT migration overlap in time? If not, why not, and how can temporal overlap be prevented? </w:t>
      </w:r>
    </w:p>
    <w:p w14:paraId="36C9552B" w14:textId="1934A55C" w:rsidR="0031492F" w:rsidRDefault="0031492F" w:rsidP="00822EA1">
      <w:pPr>
        <w:spacing w:before="120" w:after="0"/>
      </w:pPr>
      <w:r>
        <w:t xml:space="preserve">We don’t think </w:t>
      </w:r>
      <w:r w:rsidR="00701A94">
        <w:t xml:space="preserve">it’s a good idea to let </w:t>
      </w:r>
      <w:r>
        <w:t>DU migration and MT migration can happen at the same time, which bring</w:t>
      </w:r>
      <w:r w:rsidR="00701A94">
        <w:t>s</w:t>
      </w:r>
      <w:r>
        <w:t xml:space="preserve"> </w:t>
      </w:r>
      <w:r w:rsidR="00701A94">
        <w:t xml:space="preserve">huge </w:t>
      </w:r>
      <w:r>
        <w:t>complexity</w:t>
      </w:r>
      <w:r w:rsidR="00701A94">
        <w:t xml:space="preserve"> and may lead to service interruption</w:t>
      </w:r>
      <w:r>
        <w:t>. To avoid DU migration and MT migration happen at the same time, the donor-CU of IAB-DU and donor-CU of IAB-MT needs to be informed about the start and the end of the migration procedure</w:t>
      </w:r>
      <w:r w:rsidR="00701A94">
        <w:t>, if there’s on-going migration, the other migration progress will not be performed.</w:t>
      </w:r>
    </w:p>
    <w:p w14:paraId="22B93502" w14:textId="18FA383C" w:rsidR="009A695F" w:rsidRDefault="0031492F" w:rsidP="00822EA1">
      <w:pPr>
        <w:spacing w:before="120" w:after="0"/>
      </w:pPr>
      <w:r>
        <w:t xml:space="preserve">We already agreed in previous meeting </w:t>
      </w:r>
      <w:r w:rsidR="00701A94">
        <w:t xml:space="preserve">that </w:t>
      </w:r>
      <w:r w:rsidR="00E64BF8">
        <w:t>t</w:t>
      </w:r>
      <w:r w:rsidR="00E64BF8" w:rsidRPr="00E64BF8">
        <w:t xml:space="preserve">he source donor CU for the </w:t>
      </w:r>
      <w:proofErr w:type="spellStart"/>
      <w:r w:rsidR="00E64BF8" w:rsidRPr="00E64BF8">
        <w:t>mIAB</w:t>
      </w:r>
      <w:proofErr w:type="spellEnd"/>
      <w:r w:rsidR="00E64BF8" w:rsidRPr="00E64BF8">
        <w:t xml:space="preserve">-MT HO provides </w:t>
      </w:r>
      <w:r w:rsidR="00E64BF8">
        <w:t xml:space="preserve">information </w:t>
      </w:r>
      <w:r w:rsidR="00E64BF8" w:rsidRPr="00E64BF8">
        <w:t xml:space="preserve">to the donor CU serving the </w:t>
      </w:r>
      <w:proofErr w:type="spellStart"/>
      <w:r w:rsidR="00E64BF8" w:rsidRPr="00E64BF8">
        <w:t>mIAB</w:t>
      </w:r>
      <w:proofErr w:type="spellEnd"/>
      <w:r w:rsidR="00E64BF8" w:rsidRPr="00E64BF8">
        <w:t>-</w:t>
      </w:r>
      <w:r w:rsidR="00E64BF8">
        <w:t xml:space="preserve">DU after handover, then we think the source donor-CU of the </w:t>
      </w:r>
      <w:proofErr w:type="spellStart"/>
      <w:r w:rsidR="00E64BF8">
        <w:t>mIAB</w:t>
      </w:r>
      <w:proofErr w:type="spellEnd"/>
      <w:r w:rsidR="00E64BF8">
        <w:t xml:space="preserve">-MT should also inform the donor-CU of the IAB-DU that the handover stats.  </w:t>
      </w:r>
    </w:p>
    <w:p w14:paraId="69CBDD5E" w14:textId="610C6461" w:rsidR="009A695F" w:rsidRPr="0031492F" w:rsidRDefault="00E64BF8" w:rsidP="00822EA1">
      <w:pPr>
        <w:spacing w:before="120" w:after="0"/>
      </w:pPr>
      <w:r>
        <w:t>On the other hand, the donor-CU of the IAB-DU should inform</w:t>
      </w:r>
      <w:r w:rsidR="00207AA2">
        <w:t xml:space="preserve"> the donor-CU of IAB-MT</w:t>
      </w:r>
      <w:r>
        <w:t xml:space="preserve"> </w:t>
      </w:r>
      <w:r w:rsidR="00207AA2">
        <w:t>about the start and the end of DU migration.</w:t>
      </w:r>
    </w:p>
    <w:p w14:paraId="15C15C33" w14:textId="55D97B36" w:rsidR="006C3617" w:rsidRDefault="00F44895" w:rsidP="00E64BF8">
      <w:pPr>
        <w:spacing w:before="120" w:after="120"/>
        <w:rPr>
          <w:b/>
        </w:rPr>
      </w:pPr>
      <w:r w:rsidRPr="0031492F">
        <w:rPr>
          <w:b/>
        </w:rPr>
        <w:t>Proposal</w:t>
      </w:r>
      <w:r w:rsidR="00CF5628" w:rsidRPr="0031492F">
        <w:rPr>
          <w:b/>
        </w:rPr>
        <w:t xml:space="preserve"> </w:t>
      </w:r>
      <w:r w:rsidR="00347B7E">
        <w:rPr>
          <w:b/>
        </w:rPr>
        <w:t>3</w:t>
      </w:r>
      <w:r w:rsidRPr="0031492F">
        <w:rPr>
          <w:b/>
        </w:rPr>
        <w:t xml:space="preserve">, </w:t>
      </w:r>
      <w:r w:rsidR="00207AA2">
        <w:rPr>
          <w:b/>
        </w:rPr>
        <w:t>the DU migration and MT migration cannot be performed at the same time to avoid collision and service interruption.</w:t>
      </w:r>
    </w:p>
    <w:p w14:paraId="50D3051D" w14:textId="4A107A2D" w:rsidR="00207AA2" w:rsidRDefault="00207AA2" w:rsidP="00E64BF8">
      <w:pPr>
        <w:spacing w:before="120" w:after="120"/>
        <w:rPr>
          <w:b/>
        </w:rPr>
      </w:pPr>
      <w:r>
        <w:rPr>
          <w:b/>
        </w:rPr>
        <w:t>Proposal</w:t>
      </w:r>
      <w:r w:rsidR="00347B7E">
        <w:rPr>
          <w:b/>
        </w:rPr>
        <w:t xml:space="preserve"> 4</w:t>
      </w:r>
      <w:r>
        <w:rPr>
          <w:b/>
        </w:rPr>
        <w:t>, the donor CU of IAB-MT needs to be informed about the start and end of the DU migration.</w:t>
      </w:r>
    </w:p>
    <w:p w14:paraId="5DC661F4" w14:textId="30B2C5E3" w:rsidR="00207AA2" w:rsidRPr="0031492F" w:rsidRDefault="00207AA2" w:rsidP="00E64BF8">
      <w:pPr>
        <w:spacing w:before="120" w:after="120"/>
        <w:rPr>
          <w:b/>
        </w:rPr>
      </w:pPr>
      <w:r>
        <w:rPr>
          <w:b/>
        </w:rPr>
        <w:t>Proposal</w:t>
      </w:r>
      <w:r w:rsidR="00347B7E">
        <w:rPr>
          <w:b/>
        </w:rPr>
        <w:t xml:space="preserve"> 5</w:t>
      </w:r>
      <w:r>
        <w:rPr>
          <w:b/>
        </w:rPr>
        <w:t>, the donor-CU of IAB-DU needs to be informed about the start and end of the MT handover.</w:t>
      </w:r>
    </w:p>
    <w:p w14:paraId="6C5337CD" w14:textId="1E2EA23D" w:rsidR="0031492F" w:rsidRPr="002D43AF" w:rsidRDefault="006C3617" w:rsidP="002D43AF">
      <w:pPr>
        <w:pStyle w:val="2"/>
      </w:pPr>
      <w:r>
        <w:t>2.</w:t>
      </w:r>
      <w:r w:rsidR="009A695F">
        <w:t>2</w:t>
      </w:r>
      <w:r>
        <w:tab/>
        <w:t>DU migration</w:t>
      </w:r>
    </w:p>
    <w:p w14:paraId="103799D7" w14:textId="54A51F9A" w:rsidR="009700B3" w:rsidRDefault="00291904" w:rsidP="002637D7">
      <w:pPr>
        <w:spacing w:before="120" w:after="0"/>
        <w:rPr>
          <w:sz w:val="22"/>
          <w:szCs w:val="22"/>
        </w:rPr>
      </w:pPr>
      <w:r>
        <w:rPr>
          <w:sz w:val="22"/>
          <w:szCs w:val="22"/>
        </w:rPr>
        <w:t>According to the previous discussion, o</w:t>
      </w:r>
      <w:r w:rsidR="0060539B">
        <w:rPr>
          <w:sz w:val="22"/>
          <w:szCs w:val="22"/>
        </w:rPr>
        <w:t xml:space="preserve">ne possible </w:t>
      </w:r>
      <w:r w:rsidR="00CF5628">
        <w:rPr>
          <w:sz w:val="22"/>
          <w:szCs w:val="22"/>
        </w:rPr>
        <w:t>procedure</w:t>
      </w:r>
      <w:r w:rsidR="0060539B">
        <w:rPr>
          <w:sz w:val="22"/>
          <w:szCs w:val="22"/>
        </w:rPr>
        <w:t xml:space="preserve"> </w:t>
      </w:r>
      <w:r>
        <w:rPr>
          <w:sz w:val="22"/>
          <w:szCs w:val="22"/>
        </w:rPr>
        <w:t>in case the target IAB-DU’s donor-CU is different from IAB-MT’s donor-CU</w:t>
      </w:r>
      <w:r w:rsidR="000F6549">
        <w:rPr>
          <w:sz w:val="22"/>
          <w:szCs w:val="22"/>
        </w:rPr>
        <w:t xml:space="preserve"> are</w:t>
      </w:r>
      <w:r w:rsidR="009700B3">
        <w:rPr>
          <w:sz w:val="22"/>
          <w:szCs w:val="22"/>
        </w:rPr>
        <w:t xml:space="preserve"> as follows:</w:t>
      </w:r>
    </w:p>
    <w:p w14:paraId="22B0B5D3" w14:textId="4BC5F6FE" w:rsidR="006B56B6" w:rsidRDefault="00B30B9F" w:rsidP="006B56B6">
      <w:pPr>
        <w:keepNext/>
        <w:spacing w:before="120" w:after="0"/>
        <w:jc w:val="center"/>
      </w:pPr>
      <w:r>
        <w:object w:dxaOrig="17601" w:dyaOrig="11981" w14:anchorId="5DBA3667">
          <v:shape id="_x0000_i1039" type="#_x0000_t75" style="width:481.3pt;height:327.65pt" o:ole="">
            <v:imagedata r:id="rId14" o:title=""/>
          </v:shape>
          <o:OLEObject Type="Embed" ProgID="Visio.Drawing.15" ShapeID="_x0000_i1039" DrawAspect="Content" ObjectID="_1742385835" r:id="rId15"/>
        </w:object>
      </w:r>
    </w:p>
    <w:p w14:paraId="09629D1C" w14:textId="46225512" w:rsidR="009700B3" w:rsidRDefault="006B56B6" w:rsidP="006B56B6">
      <w:pPr>
        <w:pStyle w:val="ac"/>
        <w:jc w:val="center"/>
        <w:rPr>
          <w:sz w:val="22"/>
          <w:szCs w:val="22"/>
        </w:rPr>
      </w:pPr>
      <w:r>
        <w:t xml:space="preserve">Figure </w:t>
      </w:r>
      <w:r>
        <w:fldChar w:fldCharType="begin"/>
      </w:r>
      <w:r>
        <w:instrText xml:space="preserve"> SEQ Figure \* ARABIC </w:instrText>
      </w:r>
      <w:r>
        <w:fldChar w:fldCharType="separate"/>
      </w:r>
      <w:r w:rsidR="00B30B9F">
        <w:rPr>
          <w:noProof/>
        </w:rPr>
        <w:t>4</w:t>
      </w:r>
      <w:r>
        <w:fldChar w:fldCharType="end"/>
      </w:r>
      <w:r>
        <w:t xml:space="preserve"> DU migration procedures</w:t>
      </w:r>
    </w:p>
    <w:p w14:paraId="5A0FF4AA" w14:textId="59C42968" w:rsidR="000F6549" w:rsidRDefault="000F6549" w:rsidP="002637D7">
      <w:pPr>
        <w:spacing w:before="120" w:after="0"/>
        <w:rPr>
          <w:sz w:val="22"/>
          <w:szCs w:val="22"/>
        </w:rPr>
      </w:pPr>
      <w:r>
        <w:rPr>
          <w:sz w:val="22"/>
          <w:szCs w:val="22"/>
        </w:rPr>
        <w:t xml:space="preserve">In step 1, </w:t>
      </w:r>
      <w:r w:rsidR="00207AA2">
        <w:rPr>
          <w:sz w:val="22"/>
          <w:szCs w:val="22"/>
        </w:rPr>
        <w:t xml:space="preserve">DU migration is triggered. </w:t>
      </w:r>
    </w:p>
    <w:p w14:paraId="61FAD88B" w14:textId="7E648325" w:rsidR="000F6549" w:rsidRPr="00291904" w:rsidRDefault="000F6549" w:rsidP="00291904">
      <w:pPr>
        <w:widowControl w:val="0"/>
        <w:ind w:left="144" w:hanging="144"/>
        <w:rPr>
          <w:rFonts w:ascii="Calibri" w:hAnsi="Calibri" w:cs="Calibri"/>
          <w:i/>
          <w:iCs/>
          <w:color w:val="00B050"/>
          <w:kern w:val="2"/>
          <w:sz w:val="16"/>
          <w:szCs w:val="16"/>
        </w:rPr>
      </w:pPr>
      <w:r>
        <w:rPr>
          <w:sz w:val="22"/>
          <w:szCs w:val="22"/>
        </w:rPr>
        <w:t xml:space="preserve">In step 2, </w:t>
      </w:r>
      <w:r w:rsidR="00291904">
        <w:rPr>
          <w:sz w:val="22"/>
          <w:szCs w:val="22"/>
        </w:rPr>
        <w:t>the source IAB-DU’s donor-CU</w:t>
      </w:r>
      <w:r>
        <w:rPr>
          <w:sz w:val="22"/>
          <w:szCs w:val="22"/>
        </w:rPr>
        <w:t xml:space="preserve"> can send </w:t>
      </w:r>
      <w:r w:rsidRPr="006B56B6">
        <w:rPr>
          <w:color w:val="0000FF"/>
          <w:sz w:val="22"/>
          <w:szCs w:val="22"/>
        </w:rPr>
        <w:t xml:space="preserve">DU migration request </w:t>
      </w:r>
      <w:r>
        <w:rPr>
          <w:sz w:val="22"/>
          <w:szCs w:val="22"/>
        </w:rPr>
        <w:t xml:space="preserve">to </w:t>
      </w:r>
      <w:r w:rsidR="00291904">
        <w:rPr>
          <w:sz w:val="22"/>
          <w:szCs w:val="22"/>
        </w:rPr>
        <w:t xml:space="preserve">target IAB-DU’s donor-CU, including the </w:t>
      </w:r>
      <w:r w:rsidR="00291904" w:rsidRPr="00291904">
        <w:rPr>
          <w:color w:val="0000FF"/>
          <w:sz w:val="22"/>
          <w:szCs w:val="22"/>
        </w:rPr>
        <w:t xml:space="preserve">IAB-MT’s </w:t>
      </w:r>
      <w:proofErr w:type="spellStart"/>
      <w:r w:rsidR="00291904" w:rsidRPr="00291904">
        <w:rPr>
          <w:color w:val="0000FF"/>
          <w:sz w:val="22"/>
          <w:szCs w:val="22"/>
        </w:rPr>
        <w:t>gNB</w:t>
      </w:r>
      <w:proofErr w:type="spellEnd"/>
      <w:r w:rsidR="00291904" w:rsidRPr="00291904">
        <w:rPr>
          <w:color w:val="0000FF"/>
          <w:sz w:val="22"/>
          <w:szCs w:val="22"/>
        </w:rPr>
        <w:t xml:space="preserve"> ID and IA</w:t>
      </w:r>
      <w:bookmarkStart w:id="2" w:name="_GoBack"/>
      <w:bookmarkEnd w:id="2"/>
      <w:r w:rsidR="00291904" w:rsidRPr="00291904">
        <w:rPr>
          <w:color w:val="0000FF"/>
          <w:sz w:val="22"/>
          <w:szCs w:val="22"/>
        </w:rPr>
        <w:t>B-MT’s UE ID</w:t>
      </w:r>
      <w:r w:rsidR="00291904">
        <w:rPr>
          <w:sz w:val="22"/>
          <w:szCs w:val="22"/>
        </w:rPr>
        <w:t xml:space="preserve"> </w:t>
      </w:r>
      <w:r>
        <w:rPr>
          <w:sz w:val="22"/>
          <w:szCs w:val="22"/>
        </w:rPr>
        <w:t>to prepare the transport resources</w:t>
      </w:r>
      <w:r w:rsidR="00291904">
        <w:rPr>
          <w:sz w:val="22"/>
          <w:szCs w:val="22"/>
        </w:rPr>
        <w:t>, this is according the agreement “</w:t>
      </w:r>
      <w:r w:rsidR="00291904" w:rsidRPr="006146AB">
        <w:rPr>
          <w:rFonts w:ascii="Calibri" w:hAnsi="Calibri" w:cs="Calibri"/>
          <w:i/>
          <w:iCs/>
          <w:color w:val="00B050"/>
          <w:kern w:val="2"/>
          <w:sz w:val="16"/>
          <w:szCs w:val="16"/>
        </w:rPr>
        <w:t xml:space="preserve">In case the target logical </w:t>
      </w:r>
      <w:proofErr w:type="spellStart"/>
      <w:r w:rsidR="00291904" w:rsidRPr="006146AB">
        <w:rPr>
          <w:rFonts w:ascii="Calibri" w:hAnsi="Calibri" w:cs="Calibri"/>
          <w:i/>
          <w:iCs/>
          <w:color w:val="00B050"/>
          <w:kern w:val="2"/>
          <w:sz w:val="16"/>
          <w:szCs w:val="16"/>
        </w:rPr>
        <w:t>mIAB</w:t>
      </w:r>
      <w:proofErr w:type="spellEnd"/>
      <w:r w:rsidR="00291904" w:rsidRPr="006146AB">
        <w:rPr>
          <w:rFonts w:ascii="Calibri" w:hAnsi="Calibri" w:cs="Calibri"/>
          <w:i/>
          <w:iCs/>
          <w:color w:val="00B050"/>
          <w:kern w:val="2"/>
          <w:sz w:val="16"/>
          <w:szCs w:val="16"/>
        </w:rPr>
        <w:t xml:space="preserve">-DU’s CU is different from the </w:t>
      </w:r>
      <w:proofErr w:type="spellStart"/>
      <w:r w:rsidR="00291904" w:rsidRPr="006146AB">
        <w:rPr>
          <w:rFonts w:ascii="Calibri" w:hAnsi="Calibri" w:cs="Calibri"/>
          <w:i/>
          <w:iCs/>
          <w:color w:val="00B050"/>
          <w:kern w:val="2"/>
          <w:sz w:val="16"/>
          <w:szCs w:val="16"/>
        </w:rPr>
        <w:t>mIAB</w:t>
      </w:r>
      <w:proofErr w:type="spellEnd"/>
      <w:r w:rsidR="00291904" w:rsidRPr="006146AB">
        <w:rPr>
          <w:rFonts w:ascii="Calibri" w:hAnsi="Calibri" w:cs="Calibri"/>
          <w:i/>
          <w:iCs/>
          <w:color w:val="00B050"/>
          <w:kern w:val="2"/>
          <w:sz w:val="16"/>
          <w:szCs w:val="16"/>
        </w:rPr>
        <w:t xml:space="preserve">-MT’s CU, the target logical </w:t>
      </w:r>
      <w:proofErr w:type="spellStart"/>
      <w:r w:rsidR="00291904" w:rsidRPr="006146AB">
        <w:rPr>
          <w:rFonts w:ascii="Calibri" w:hAnsi="Calibri" w:cs="Calibri"/>
          <w:i/>
          <w:iCs/>
          <w:color w:val="00B050"/>
          <w:kern w:val="2"/>
          <w:sz w:val="16"/>
          <w:szCs w:val="16"/>
        </w:rPr>
        <w:t>mIAB</w:t>
      </w:r>
      <w:proofErr w:type="spellEnd"/>
      <w:r w:rsidR="00291904" w:rsidRPr="006146AB">
        <w:rPr>
          <w:rFonts w:ascii="Calibri" w:hAnsi="Calibri" w:cs="Calibri"/>
          <w:i/>
          <w:iCs/>
          <w:color w:val="00B050"/>
          <w:kern w:val="2"/>
          <w:sz w:val="16"/>
          <w:szCs w:val="16"/>
        </w:rPr>
        <w:t xml:space="preserve">-DU’s CU needs to be informed about the </w:t>
      </w:r>
      <w:proofErr w:type="spellStart"/>
      <w:r w:rsidR="00291904" w:rsidRPr="006146AB">
        <w:rPr>
          <w:rFonts w:ascii="Calibri" w:hAnsi="Calibri" w:cs="Calibri"/>
          <w:i/>
          <w:iCs/>
          <w:color w:val="00B050"/>
          <w:kern w:val="2"/>
          <w:sz w:val="16"/>
          <w:szCs w:val="16"/>
        </w:rPr>
        <w:t>mIAB</w:t>
      </w:r>
      <w:proofErr w:type="spellEnd"/>
      <w:r w:rsidR="00291904" w:rsidRPr="006146AB">
        <w:rPr>
          <w:rFonts w:ascii="Calibri" w:hAnsi="Calibri" w:cs="Calibri"/>
          <w:i/>
          <w:iCs/>
          <w:color w:val="00B050"/>
          <w:kern w:val="2"/>
          <w:sz w:val="16"/>
          <w:szCs w:val="16"/>
        </w:rPr>
        <w:t xml:space="preserve">-MT’s CU ID and the </w:t>
      </w:r>
      <w:proofErr w:type="spellStart"/>
      <w:r w:rsidR="00291904" w:rsidRPr="006146AB">
        <w:rPr>
          <w:rFonts w:ascii="Calibri" w:hAnsi="Calibri" w:cs="Calibri"/>
          <w:i/>
          <w:iCs/>
          <w:color w:val="00B050"/>
          <w:kern w:val="2"/>
          <w:sz w:val="16"/>
          <w:szCs w:val="16"/>
        </w:rPr>
        <w:t>mIAB</w:t>
      </w:r>
      <w:proofErr w:type="spellEnd"/>
      <w:r w:rsidR="00291904" w:rsidRPr="006146AB">
        <w:rPr>
          <w:rFonts w:ascii="Calibri" w:hAnsi="Calibri" w:cs="Calibri"/>
          <w:i/>
          <w:iCs/>
          <w:color w:val="00B050"/>
          <w:kern w:val="2"/>
          <w:sz w:val="16"/>
          <w:szCs w:val="16"/>
        </w:rPr>
        <w:t xml:space="preserve">-MT ID so that it can initiate the </w:t>
      </w:r>
      <w:proofErr w:type="spellStart"/>
      <w:r w:rsidR="00291904" w:rsidRPr="006146AB">
        <w:rPr>
          <w:rFonts w:ascii="Calibri" w:hAnsi="Calibri" w:cs="Calibri"/>
          <w:i/>
          <w:iCs/>
          <w:color w:val="00B050"/>
          <w:kern w:val="2"/>
          <w:sz w:val="16"/>
          <w:szCs w:val="16"/>
        </w:rPr>
        <w:t>Xn</w:t>
      </w:r>
      <w:proofErr w:type="spellEnd"/>
      <w:r w:rsidR="00291904" w:rsidRPr="006146AB">
        <w:rPr>
          <w:rFonts w:ascii="Calibri" w:hAnsi="Calibri" w:cs="Calibri"/>
          <w:i/>
          <w:iCs/>
          <w:color w:val="00B050"/>
          <w:kern w:val="2"/>
          <w:sz w:val="16"/>
          <w:szCs w:val="16"/>
        </w:rPr>
        <w:t xml:space="preserve"> TMM procedures towards </w:t>
      </w:r>
      <w:proofErr w:type="spellStart"/>
      <w:r w:rsidR="00291904" w:rsidRPr="006146AB">
        <w:rPr>
          <w:rFonts w:ascii="Calibri" w:hAnsi="Calibri" w:cs="Calibri"/>
          <w:i/>
          <w:iCs/>
          <w:color w:val="00B050"/>
          <w:kern w:val="2"/>
          <w:sz w:val="16"/>
          <w:szCs w:val="16"/>
        </w:rPr>
        <w:t>mIAB</w:t>
      </w:r>
      <w:proofErr w:type="spellEnd"/>
      <w:r w:rsidR="00291904" w:rsidRPr="006146AB">
        <w:rPr>
          <w:rFonts w:ascii="Calibri" w:hAnsi="Calibri" w:cs="Calibri"/>
          <w:i/>
          <w:iCs/>
          <w:color w:val="00B050"/>
          <w:kern w:val="2"/>
          <w:sz w:val="16"/>
          <w:szCs w:val="16"/>
        </w:rPr>
        <w:t>-MT’s CU.</w:t>
      </w:r>
      <w:r w:rsidR="00291904">
        <w:rPr>
          <w:sz w:val="22"/>
          <w:szCs w:val="22"/>
        </w:rPr>
        <w:t xml:space="preserve">” And we think the IAB-MT’s UE ID should be UE </w:t>
      </w:r>
      <w:proofErr w:type="spellStart"/>
      <w:r w:rsidR="00291904">
        <w:rPr>
          <w:sz w:val="22"/>
          <w:szCs w:val="22"/>
        </w:rPr>
        <w:t>XnAP</w:t>
      </w:r>
      <w:proofErr w:type="spellEnd"/>
      <w:r w:rsidR="00291904">
        <w:rPr>
          <w:sz w:val="22"/>
          <w:szCs w:val="22"/>
        </w:rPr>
        <w:t xml:space="preserve"> ID assigned by IAB-MT’s donor-CU.</w:t>
      </w:r>
    </w:p>
    <w:p w14:paraId="769A8B68" w14:textId="4BE03FFB" w:rsidR="000F6549" w:rsidRDefault="000F6549" w:rsidP="002637D7">
      <w:pPr>
        <w:spacing w:before="120" w:after="0"/>
        <w:rPr>
          <w:sz w:val="22"/>
          <w:szCs w:val="22"/>
        </w:rPr>
      </w:pPr>
      <w:r>
        <w:rPr>
          <w:sz w:val="22"/>
          <w:szCs w:val="22"/>
        </w:rPr>
        <w:t>In step 3-</w:t>
      </w:r>
      <w:r w:rsidR="00291904">
        <w:rPr>
          <w:sz w:val="22"/>
          <w:szCs w:val="22"/>
        </w:rPr>
        <w:t>8</w:t>
      </w:r>
      <w:r>
        <w:rPr>
          <w:sz w:val="22"/>
          <w:szCs w:val="22"/>
        </w:rPr>
        <w:t xml:space="preserve">, </w:t>
      </w:r>
      <w:r w:rsidR="00291904">
        <w:rPr>
          <w:sz w:val="22"/>
          <w:szCs w:val="22"/>
        </w:rPr>
        <w:t>transport migration management is performed</w:t>
      </w:r>
      <w:r>
        <w:rPr>
          <w:sz w:val="22"/>
          <w:szCs w:val="22"/>
        </w:rPr>
        <w:t>.</w:t>
      </w:r>
      <w:r w:rsidR="00291904">
        <w:rPr>
          <w:sz w:val="22"/>
          <w:szCs w:val="22"/>
        </w:rPr>
        <w:t xml:space="preserve"> In step 3, the </w:t>
      </w:r>
      <w:r w:rsidR="00291904">
        <w:rPr>
          <w:sz w:val="22"/>
          <w:szCs w:val="22"/>
        </w:rPr>
        <w:t>target IAB-DU’s donor-CU</w:t>
      </w:r>
      <w:r w:rsidR="00291904">
        <w:rPr>
          <w:sz w:val="22"/>
          <w:szCs w:val="22"/>
        </w:rPr>
        <w:t xml:space="preserve"> send the request to </w:t>
      </w:r>
      <w:r w:rsidR="00291904" w:rsidRPr="00291904">
        <w:rPr>
          <w:sz w:val="22"/>
          <w:szCs w:val="22"/>
        </w:rPr>
        <w:t>IAB-MT’s</w:t>
      </w:r>
      <w:r w:rsidR="00291904">
        <w:rPr>
          <w:sz w:val="22"/>
          <w:szCs w:val="22"/>
        </w:rPr>
        <w:t xml:space="preserve"> donor-CU including the </w:t>
      </w:r>
      <w:r w:rsidR="00291904" w:rsidRPr="00291904">
        <w:rPr>
          <w:color w:val="0000FF"/>
          <w:sz w:val="22"/>
          <w:szCs w:val="22"/>
        </w:rPr>
        <w:t>IAB-MT’s UE ID</w:t>
      </w:r>
      <w:r w:rsidR="00291904">
        <w:rPr>
          <w:color w:val="0000FF"/>
          <w:sz w:val="22"/>
          <w:szCs w:val="22"/>
        </w:rPr>
        <w:t xml:space="preserve"> (i.e.</w:t>
      </w:r>
      <w:r w:rsidR="00291904" w:rsidRPr="00291904">
        <w:t xml:space="preserve"> </w:t>
      </w:r>
      <w:r w:rsidR="00291904" w:rsidRPr="00291904">
        <w:rPr>
          <w:color w:val="0000FF"/>
          <w:sz w:val="22"/>
          <w:szCs w:val="22"/>
        </w:rPr>
        <w:t xml:space="preserve">UE </w:t>
      </w:r>
      <w:proofErr w:type="spellStart"/>
      <w:r w:rsidR="00291904" w:rsidRPr="00291904">
        <w:rPr>
          <w:color w:val="0000FF"/>
          <w:sz w:val="22"/>
          <w:szCs w:val="22"/>
        </w:rPr>
        <w:t>XnAP</w:t>
      </w:r>
      <w:proofErr w:type="spellEnd"/>
      <w:r w:rsidR="00291904" w:rsidRPr="00291904">
        <w:rPr>
          <w:color w:val="0000FF"/>
          <w:sz w:val="22"/>
          <w:szCs w:val="22"/>
        </w:rPr>
        <w:t xml:space="preserve"> ID assigned by IAB-MT’s donor-CU</w:t>
      </w:r>
      <w:r w:rsidR="00291904">
        <w:rPr>
          <w:color w:val="0000FF"/>
          <w:sz w:val="22"/>
          <w:szCs w:val="22"/>
        </w:rPr>
        <w:t>) to let the IAB-MT’s donor-CU identify which IAB-MT is requested.</w:t>
      </w:r>
    </w:p>
    <w:p w14:paraId="04FBE328" w14:textId="04A29A7D" w:rsidR="000F6549" w:rsidRDefault="002D43AF" w:rsidP="000F6549">
      <w:pPr>
        <w:spacing w:before="120" w:after="0"/>
        <w:rPr>
          <w:color w:val="0000FF"/>
          <w:sz w:val="22"/>
          <w:szCs w:val="22"/>
        </w:rPr>
      </w:pPr>
      <w:r>
        <w:rPr>
          <w:noProof/>
          <w:sz w:val="22"/>
          <w:szCs w:val="22"/>
        </w:rPr>
        <mc:AlternateContent>
          <mc:Choice Requires="wps">
            <w:drawing>
              <wp:anchor distT="0" distB="0" distL="114300" distR="114300" simplePos="0" relativeHeight="251666432" behindDoc="0" locked="0" layoutInCell="1" allowOverlap="1" wp14:anchorId="3057CA73" wp14:editId="23C73A93">
                <wp:simplePos x="0" y="0"/>
                <wp:positionH relativeFrom="column">
                  <wp:posOffset>0</wp:posOffset>
                </wp:positionH>
                <wp:positionV relativeFrom="paragraph">
                  <wp:posOffset>361315</wp:posOffset>
                </wp:positionV>
                <wp:extent cx="5567680" cy="361950"/>
                <wp:effectExtent l="0" t="0" r="13970" b="19050"/>
                <wp:wrapTopAndBottom/>
                <wp:docPr id="2" name="文本框 2"/>
                <wp:cNvGraphicFramePr/>
                <a:graphic xmlns:a="http://schemas.openxmlformats.org/drawingml/2006/main">
                  <a:graphicData uri="http://schemas.microsoft.com/office/word/2010/wordprocessingShape">
                    <wps:wsp>
                      <wps:cNvSpPr txBox="1"/>
                      <wps:spPr>
                        <a:xfrm>
                          <a:off x="0" y="0"/>
                          <a:ext cx="5567680" cy="361950"/>
                        </a:xfrm>
                        <a:prstGeom prst="rect">
                          <a:avLst/>
                        </a:prstGeom>
                        <a:solidFill>
                          <a:schemeClr val="lt1"/>
                        </a:solidFill>
                        <a:ln w="6350">
                          <a:solidFill>
                            <a:prstClr val="black"/>
                          </a:solidFill>
                        </a:ln>
                      </wps:spPr>
                      <wps:txbx>
                        <w:txbxContent>
                          <w:p w14:paraId="5B3A498F" w14:textId="6034D878" w:rsidR="002D43AF" w:rsidRPr="002D43AF" w:rsidRDefault="002D43AF" w:rsidP="002D43AF">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57CA73" id="文本框 2" o:spid="_x0000_s1028" type="#_x0000_t202" style="position:absolute;margin-left:0;margin-top:28.45pt;width:438.4pt;height:28.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" fillcolor="white [3201]" strokeweight=".5pt">
                <v:textbox>
                  <w:txbxContent>
                    <w:p w14:paraId="5B3A498F" w14:textId="6034D878" w:rsidR="002D43AF" w:rsidRPr="002D43AF" w:rsidRDefault="002D43AF" w:rsidP="002D43AF">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When triggering the F1 Setup procedure on the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-node,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to include the information of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(e.g. IP address, </w:t>
                      </w:r>
                      <w:proofErr w:type="spellStart"/>
                      <w:r w:rsidRPr="006146AB">
                        <w:rPr>
                          <w:rFonts w:ascii="Calibri" w:hAnsi="Calibri" w:cs="Calibri"/>
                          <w:i/>
                          <w:iCs/>
                          <w:color w:val="00B050"/>
                          <w:kern w:val="2"/>
                          <w:sz w:val="16"/>
                          <w:szCs w:val="16"/>
                        </w:rPr>
                        <w:t>gNB</w:t>
                      </w:r>
                      <w:proofErr w:type="spellEnd"/>
                      <w:r w:rsidRPr="006146AB">
                        <w:rPr>
                          <w:rFonts w:ascii="Calibri" w:hAnsi="Calibri" w:cs="Calibri"/>
                          <w:i/>
                          <w:iCs/>
                          <w:color w:val="00B050"/>
                          <w:kern w:val="2"/>
                          <w:sz w:val="16"/>
                          <w:szCs w:val="16"/>
                        </w:rPr>
                        <w:t xml:space="preserve">-ID). </w:t>
                      </w:r>
                    </w:p>
                  </w:txbxContent>
                </v:textbox>
                <w10:wrap type="topAndBottom"/>
              </v:shape>
            </w:pict>
          </mc:Fallback>
        </mc:AlternateContent>
      </w:r>
      <w:r w:rsidR="000F6549">
        <w:rPr>
          <w:sz w:val="22"/>
          <w:szCs w:val="22"/>
        </w:rPr>
        <w:t xml:space="preserve">In step 9, after the BH link setup, IAB-donor-CU1 can </w:t>
      </w:r>
      <w:r w:rsidR="000F6549" w:rsidRPr="006B56B6">
        <w:rPr>
          <w:color w:val="0000FF"/>
          <w:sz w:val="22"/>
          <w:szCs w:val="22"/>
        </w:rPr>
        <w:t>trigger the F1 setup.</w:t>
      </w:r>
    </w:p>
    <w:p w14:paraId="124D3D27" w14:textId="6D5905F7" w:rsidR="002D43AF" w:rsidRDefault="002D43AF" w:rsidP="002E2ED5">
      <w:pPr>
        <w:widowControl w:val="0"/>
        <w:ind w:left="144" w:hanging="144"/>
        <w:rPr>
          <w:rFonts w:ascii="Calibri" w:hAnsi="Calibri" w:cs="Calibri"/>
          <w:i/>
          <w:iCs/>
          <w:color w:val="00B050"/>
          <w:kern w:val="2"/>
          <w:sz w:val="16"/>
          <w:szCs w:val="16"/>
        </w:rPr>
      </w:pPr>
    </w:p>
    <w:p w14:paraId="2BF5737D" w14:textId="025C4001" w:rsidR="002D43AF" w:rsidRDefault="002D43AF" w:rsidP="000F6549">
      <w:pPr>
        <w:spacing w:before="120" w:after="0"/>
        <w:rPr>
          <w:sz w:val="22"/>
          <w:szCs w:val="22"/>
        </w:rPr>
      </w:pPr>
      <w:r>
        <w:rPr>
          <w:sz w:val="22"/>
          <w:szCs w:val="22"/>
        </w:rPr>
        <w:t xml:space="preserve">We think </w:t>
      </w:r>
      <w:proofErr w:type="spellStart"/>
      <w:r>
        <w:rPr>
          <w:sz w:val="22"/>
          <w:szCs w:val="22"/>
        </w:rPr>
        <w:t>gNB</w:t>
      </w:r>
      <w:proofErr w:type="spellEnd"/>
      <w:r>
        <w:rPr>
          <w:sz w:val="22"/>
          <w:szCs w:val="22"/>
        </w:rPr>
        <w:t>-ID is enough to find the target IAB-DU’s donor-CU.</w:t>
      </w:r>
    </w:p>
    <w:p w14:paraId="53E6F2C8" w14:textId="5C522260" w:rsidR="000F6549" w:rsidRDefault="000F6549" w:rsidP="000F6549">
      <w:pPr>
        <w:spacing w:before="120" w:after="0"/>
        <w:rPr>
          <w:sz w:val="22"/>
          <w:szCs w:val="22"/>
        </w:rPr>
      </w:pPr>
      <w:r>
        <w:rPr>
          <w:sz w:val="22"/>
          <w:szCs w:val="22"/>
        </w:rPr>
        <w:t>In step 10-11, F1 setup between IAB-DU2 and IAB-donor-CU3.</w:t>
      </w:r>
    </w:p>
    <w:p w14:paraId="378C7C25" w14:textId="668BC57E" w:rsidR="002D43AF" w:rsidRDefault="002D43AF" w:rsidP="000F6549">
      <w:pPr>
        <w:spacing w:before="120" w:after="0"/>
        <w:rPr>
          <w:sz w:val="22"/>
          <w:szCs w:val="22"/>
        </w:rPr>
      </w:pPr>
      <w:r>
        <w:rPr>
          <w:noProof/>
          <w:sz w:val="22"/>
          <w:szCs w:val="22"/>
        </w:rPr>
        <mc:AlternateContent>
          <mc:Choice Requires="wps">
            <w:drawing>
              <wp:anchor distT="0" distB="0" distL="114300" distR="114300" simplePos="0" relativeHeight="251668480" behindDoc="0" locked="0" layoutInCell="1" allowOverlap="1" wp14:anchorId="30EBDE8F" wp14:editId="315D62B6">
                <wp:simplePos x="0" y="0"/>
                <wp:positionH relativeFrom="column">
                  <wp:posOffset>0</wp:posOffset>
                </wp:positionH>
                <wp:positionV relativeFrom="paragraph">
                  <wp:posOffset>454025</wp:posOffset>
                </wp:positionV>
                <wp:extent cx="5567680" cy="361950"/>
                <wp:effectExtent l="0" t="0" r="13970" b="19050"/>
                <wp:wrapTopAndBottom/>
                <wp:docPr id="4" name="文本框 4"/>
                <wp:cNvGraphicFramePr/>
                <a:graphic xmlns:a="http://schemas.openxmlformats.org/drawingml/2006/main">
                  <a:graphicData uri="http://schemas.microsoft.com/office/word/2010/wordprocessingShape">
                    <wps:wsp>
                      <wps:cNvSpPr txBox="1"/>
                      <wps:spPr>
                        <a:xfrm>
                          <a:off x="0" y="0"/>
                          <a:ext cx="5567680" cy="361950"/>
                        </a:xfrm>
                        <a:prstGeom prst="rect">
                          <a:avLst/>
                        </a:prstGeom>
                        <a:solidFill>
                          <a:schemeClr val="lt1"/>
                        </a:solidFill>
                        <a:ln w="6350">
                          <a:solidFill>
                            <a:prstClr val="black"/>
                          </a:solidFill>
                        </a:ln>
                      </wps:spPr>
                      <wps:txbx>
                        <w:txbxContent>
                          <w:p w14:paraId="581B0421" w14:textId="77777777" w:rsidR="002D43AF" w:rsidRPr="006146AB" w:rsidRDefault="002D43AF" w:rsidP="002D43AF">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EC6338D" w14:textId="6827C0C4" w:rsidR="002D43AF" w:rsidRPr="002D43AF" w:rsidRDefault="002D43AF" w:rsidP="002D43AF">
                            <w:pPr>
                              <w:widowControl w:val="0"/>
                              <w:ind w:left="144" w:hanging="144"/>
                              <w:rPr>
                                <w:rFonts w:ascii="Calibri" w:hAnsi="Calibri" w:cs="Calibri"/>
                                <w:i/>
                                <w:iCs/>
                                <w:color w:val="00B050"/>
                                <w:kern w:val="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EBDE8F" id="文本框 4" o:spid="_x0000_s1029" type="#_x0000_t202" style="position:absolute;margin-left:0;margin-top:35.75pt;width:438.4pt;height:28.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" fillcolor="white [3201]" strokeweight=".5pt">
                <v:textbox>
                  <w:txbxContent>
                    <w:p w14:paraId="581B0421" w14:textId="77777777" w:rsidR="002D43AF" w:rsidRPr="006146AB" w:rsidRDefault="002D43AF" w:rsidP="002D43AF">
                      <w:pPr>
                        <w:widowControl w:val="0"/>
                        <w:ind w:left="144" w:hanging="144"/>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The IAB-node can inform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via F1AP about the successful F1 Setup with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CU, and it can include the IDs of the cells activated by the target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7EC6338D" w14:textId="6827C0C4" w:rsidR="002D43AF" w:rsidRPr="002D43AF" w:rsidRDefault="002D43AF" w:rsidP="002D43AF">
                      <w:pPr>
                        <w:widowControl w:val="0"/>
                        <w:ind w:left="144" w:hanging="144"/>
                        <w:rPr>
                          <w:rFonts w:ascii="Calibri" w:hAnsi="Calibri" w:cs="Calibri"/>
                          <w:i/>
                          <w:iCs/>
                          <w:color w:val="00B050"/>
                          <w:kern w:val="2"/>
                          <w:sz w:val="16"/>
                          <w:szCs w:val="16"/>
                        </w:rPr>
                      </w:pPr>
                    </w:p>
                  </w:txbxContent>
                </v:textbox>
                <w10:wrap type="topAndBottom"/>
              </v:shape>
            </w:pict>
          </mc:Fallback>
        </mc:AlternateContent>
      </w:r>
      <w:r w:rsidR="000F6549">
        <w:rPr>
          <w:sz w:val="22"/>
          <w:szCs w:val="22"/>
        </w:rPr>
        <w:t xml:space="preserve">In step 12, </w:t>
      </w:r>
      <w:r w:rsidR="006B56B6">
        <w:rPr>
          <w:sz w:val="22"/>
          <w:szCs w:val="22"/>
        </w:rPr>
        <w:t xml:space="preserve">IAB-DU1 can send </w:t>
      </w:r>
      <w:r w:rsidR="006B56B6" w:rsidRPr="006B56B6">
        <w:rPr>
          <w:color w:val="0000FF"/>
          <w:sz w:val="22"/>
          <w:szCs w:val="22"/>
        </w:rPr>
        <w:t xml:space="preserve">F1 setup completion notify </w:t>
      </w:r>
      <w:r w:rsidR="006B56B6">
        <w:rPr>
          <w:sz w:val="22"/>
          <w:szCs w:val="22"/>
        </w:rPr>
        <w:t xml:space="preserve">including </w:t>
      </w:r>
      <w:r w:rsidR="006B56B6" w:rsidRPr="006B56B6">
        <w:rPr>
          <w:color w:val="0000FF"/>
          <w:sz w:val="22"/>
          <w:szCs w:val="22"/>
        </w:rPr>
        <w:t xml:space="preserve">the cell mapping info </w:t>
      </w:r>
      <w:r w:rsidR="006B56B6">
        <w:rPr>
          <w:sz w:val="22"/>
          <w:szCs w:val="22"/>
        </w:rPr>
        <w:t>to IAB-donor-CU1.</w:t>
      </w:r>
    </w:p>
    <w:p w14:paraId="63D02E79" w14:textId="5DDB34F5" w:rsidR="002E2ED5" w:rsidRPr="000F6549" w:rsidRDefault="00E64F19" w:rsidP="000F6549">
      <w:pPr>
        <w:spacing w:before="120" w:after="0"/>
        <w:rPr>
          <w:sz w:val="22"/>
          <w:szCs w:val="22"/>
        </w:rPr>
      </w:pPr>
      <w:r>
        <w:rPr>
          <w:sz w:val="22"/>
          <w:szCs w:val="22"/>
        </w:rPr>
        <w:t xml:space="preserve">Step 12 is already agreed. </w:t>
      </w:r>
    </w:p>
    <w:p w14:paraId="7F5753A5" w14:textId="7792D2E0" w:rsidR="006B56B6" w:rsidRDefault="006B56B6" w:rsidP="002637D7">
      <w:pPr>
        <w:spacing w:before="120" w:after="0"/>
        <w:rPr>
          <w:sz w:val="22"/>
          <w:szCs w:val="22"/>
        </w:rPr>
      </w:pPr>
      <w:r>
        <w:rPr>
          <w:sz w:val="22"/>
          <w:szCs w:val="22"/>
        </w:rPr>
        <w:t>In step 13, the UE handover can be started after step 12.</w:t>
      </w:r>
    </w:p>
    <w:p w14:paraId="5AAA1690" w14:textId="52F9AAE9" w:rsidR="002E2ED5" w:rsidRDefault="002D43AF" w:rsidP="002637D7">
      <w:pPr>
        <w:spacing w:before="120" w:after="0"/>
        <w:rPr>
          <w:sz w:val="22"/>
          <w:szCs w:val="22"/>
        </w:rPr>
      </w:pPr>
      <w:r>
        <w:rPr>
          <w:noProof/>
          <w:sz w:val="22"/>
          <w:szCs w:val="22"/>
        </w:rPr>
        <mc:AlternateContent>
          <mc:Choice Requires="wps">
            <w:drawing>
              <wp:anchor distT="0" distB="0" distL="114300" distR="114300" simplePos="0" relativeHeight="251670528" behindDoc="0" locked="0" layoutInCell="1" allowOverlap="1" wp14:anchorId="48A69D4B" wp14:editId="242D2884">
                <wp:simplePos x="0" y="0"/>
                <wp:positionH relativeFrom="column">
                  <wp:posOffset>11430</wp:posOffset>
                </wp:positionH>
                <wp:positionV relativeFrom="paragraph">
                  <wp:posOffset>68580</wp:posOffset>
                </wp:positionV>
                <wp:extent cx="5567680" cy="361950"/>
                <wp:effectExtent l="0" t="0" r="13970" b="19050"/>
                <wp:wrapTopAndBottom/>
                <wp:docPr id="5" name="文本框 5"/>
                <wp:cNvGraphicFramePr/>
                <a:graphic xmlns:a="http://schemas.openxmlformats.org/drawingml/2006/main">
                  <a:graphicData uri="http://schemas.microsoft.com/office/word/2010/wordprocessingShape">
                    <wps:wsp>
                      <wps:cNvSpPr txBox="1"/>
                      <wps:spPr>
                        <a:xfrm>
                          <a:off x="0" y="0"/>
                          <a:ext cx="5567680" cy="361950"/>
                        </a:xfrm>
                        <a:prstGeom prst="rect">
                          <a:avLst/>
                        </a:prstGeom>
                        <a:solidFill>
                          <a:schemeClr val="lt1"/>
                        </a:solidFill>
                        <a:ln w="6350">
                          <a:solidFill>
                            <a:prstClr val="black"/>
                          </a:solidFill>
                        </a:ln>
                      </wps:spPr>
                      <wps:txbx>
                        <w:txbxContent>
                          <w:p w14:paraId="12DAD561" w14:textId="77777777" w:rsidR="002D43AF" w:rsidRPr="006146AB" w:rsidRDefault="002D43AF" w:rsidP="002D43AF">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5BF41D34" w14:textId="77777777" w:rsidR="002D43AF" w:rsidRPr="002D43AF" w:rsidRDefault="002D43AF" w:rsidP="002D43AF">
                            <w:pPr>
                              <w:widowControl w:val="0"/>
                              <w:ind w:left="144" w:hanging="144"/>
                              <w:rPr>
                                <w:rFonts w:ascii="Calibri" w:hAnsi="Calibri" w:cs="Calibri"/>
                                <w:i/>
                                <w:iCs/>
                                <w:color w:val="00B050"/>
                                <w:kern w:val="2"/>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A69D4B" id="文本框 5" o:spid="_x0000_s1030" type="#_x0000_t202" style="position:absolute;margin-left:.9pt;margin-top:5.4pt;width:438.4pt;height:28.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" fillcolor="white [3201]" strokeweight=".5pt">
                <v:textbox>
                  <w:txbxContent>
                    <w:p w14:paraId="12DAD561" w14:textId="77777777" w:rsidR="002D43AF" w:rsidRPr="006146AB" w:rsidRDefault="002D43AF" w:rsidP="002D43AF">
                      <w:pPr>
                        <w:widowControl w:val="0"/>
                        <w:rPr>
                          <w:rFonts w:ascii="Calibri" w:hAnsi="Calibri" w:cs="Calibri"/>
                          <w:i/>
                          <w:iCs/>
                          <w:color w:val="00B050"/>
                          <w:kern w:val="2"/>
                          <w:sz w:val="16"/>
                          <w:szCs w:val="16"/>
                        </w:rPr>
                      </w:pPr>
                      <w:r w:rsidRPr="006146AB">
                        <w:rPr>
                          <w:rFonts w:ascii="Calibri" w:hAnsi="Calibri" w:cs="Calibri"/>
                          <w:i/>
                          <w:iCs/>
                          <w:color w:val="00B050"/>
                          <w:kern w:val="2"/>
                          <w:sz w:val="16"/>
                          <w:szCs w:val="16"/>
                        </w:rPr>
                        <w:t xml:space="preserve">After </w:t>
                      </w:r>
                      <w:proofErr w:type="gramStart"/>
                      <w:r w:rsidRPr="006146AB">
                        <w:rPr>
                          <w:rFonts w:ascii="Calibri" w:hAnsi="Calibri" w:cs="Calibri"/>
                          <w:i/>
                          <w:iCs/>
                          <w:color w:val="00B050"/>
                          <w:kern w:val="2"/>
                          <w:sz w:val="16"/>
                          <w:szCs w:val="16"/>
                        </w:rPr>
                        <w:t>all</w:t>
                      </w:r>
                      <w:proofErr w:type="gramEnd"/>
                      <w:r w:rsidRPr="006146AB">
                        <w:rPr>
                          <w:rFonts w:ascii="Calibri" w:hAnsi="Calibri" w:cs="Calibri"/>
                          <w:i/>
                          <w:iCs/>
                          <w:color w:val="00B050"/>
                          <w:kern w:val="2"/>
                          <w:sz w:val="16"/>
                          <w:szCs w:val="16"/>
                        </w:rPr>
                        <w:t xml:space="preserve"> UEs have been handed over,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-DU’s F1AP association can be released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 xml:space="preserve">-DU or by the source logical </w:t>
                      </w:r>
                      <w:proofErr w:type="spellStart"/>
                      <w:r w:rsidRPr="006146AB">
                        <w:rPr>
                          <w:rFonts w:ascii="Calibri" w:hAnsi="Calibri" w:cs="Calibri"/>
                          <w:i/>
                          <w:iCs/>
                          <w:color w:val="00B050"/>
                          <w:kern w:val="2"/>
                          <w:sz w:val="16"/>
                          <w:szCs w:val="16"/>
                        </w:rPr>
                        <w:t>mIAB</w:t>
                      </w:r>
                      <w:proofErr w:type="spellEnd"/>
                      <w:r w:rsidRPr="006146AB">
                        <w:rPr>
                          <w:rFonts w:ascii="Calibri" w:hAnsi="Calibri" w:cs="Calibri"/>
                          <w:i/>
                          <w:iCs/>
                          <w:color w:val="00B050"/>
                          <w:kern w:val="2"/>
                          <w:sz w:val="16"/>
                          <w:szCs w:val="16"/>
                        </w:rPr>
                        <w:t>-DU’s CU.</w:t>
                      </w:r>
                    </w:p>
                    <w:p w14:paraId="5BF41D34" w14:textId="77777777" w:rsidR="002D43AF" w:rsidRPr="002D43AF" w:rsidRDefault="002D43AF" w:rsidP="002D43AF">
                      <w:pPr>
                        <w:widowControl w:val="0"/>
                        <w:ind w:left="144" w:hanging="144"/>
                        <w:rPr>
                          <w:rFonts w:ascii="Calibri" w:hAnsi="Calibri" w:cs="Calibri"/>
                          <w:i/>
                          <w:iCs/>
                          <w:color w:val="00B050"/>
                          <w:kern w:val="2"/>
                          <w:sz w:val="16"/>
                          <w:szCs w:val="16"/>
                        </w:rPr>
                      </w:pPr>
                    </w:p>
                  </w:txbxContent>
                </v:textbox>
                <w10:wrap type="topAndBottom"/>
              </v:shape>
            </w:pict>
          </mc:Fallback>
        </mc:AlternateContent>
      </w:r>
    </w:p>
    <w:p w14:paraId="11858729" w14:textId="44D34475" w:rsidR="00224043" w:rsidRDefault="00224043" w:rsidP="002637D7">
      <w:pPr>
        <w:spacing w:before="120" w:after="0"/>
        <w:rPr>
          <w:b/>
          <w:sz w:val="22"/>
          <w:szCs w:val="22"/>
        </w:rPr>
      </w:pPr>
      <w:r w:rsidRPr="00224043">
        <w:rPr>
          <w:b/>
          <w:sz w:val="22"/>
          <w:szCs w:val="22"/>
        </w:rPr>
        <w:t>Proposal</w:t>
      </w:r>
      <w:r w:rsidR="00C270CC">
        <w:rPr>
          <w:b/>
          <w:sz w:val="22"/>
          <w:szCs w:val="22"/>
        </w:rPr>
        <w:t xml:space="preserve"> </w:t>
      </w:r>
      <w:r w:rsidR="00347B7E">
        <w:rPr>
          <w:b/>
          <w:sz w:val="22"/>
          <w:szCs w:val="22"/>
        </w:rPr>
        <w:t>7</w:t>
      </w:r>
      <w:r w:rsidRPr="00224043">
        <w:rPr>
          <w:b/>
          <w:sz w:val="22"/>
          <w:szCs w:val="22"/>
        </w:rPr>
        <w:t xml:space="preserve">, </w:t>
      </w:r>
      <w:r w:rsidR="00291904" w:rsidRPr="00291904">
        <w:rPr>
          <w:b/>
          <w:sz w:val="22"/>
          <w:szCs w:val="22"/>
        </w:rPr>
        <w:t xml:space="preserve">In case the target logical </w:t>
      </w:r>
      <w:proofErr w:type="spellStart"/>
      <w:r w:rsidR="00291904" w:rsidRPr="00291904">
        <w:rPr>
          <w:b/>
          <w:sz w:val="22"/>
          <w:szCs w:val="22"/>
        </w:rPr>
        <w:t>mIAB</w:t>
      </w:r>
      <w:proofErr w:type="spellEnd"/>
      <w:r w:rsidR="00291904" w:rsidRPr="00291904">
        <w:rPr>
          <w:b/>
          <w:sz w:val="22"/>
          <w:szCs w:val="22"/>
        </w:rPr>
        <w:t xml:space="preserve">-DU’s CU is different from the </w:t>
      </w:r>
      <w:proofErr w:type="spellStart"/>
      <w:r w:rsidR="00291904" w:rsidRPr="00291904">
        <w:rPr>
          <w:b/>
          <w:sz w:val="22"/>
          <w:szCs w:val="22"/>
        </w:rPr>
        <w:t>mIAB</w:t>
      </w:r>
      <w:proofErr w:type="spellEnd"/>
      <w:r w:rsidR="00291904" w:rsidRPr="00291904">
        <w:rPr>
          <w:b/>
          <w:sz w:val="22"/>
          <w:szCs w:val="22"/>
        </w:rPr>
        <w:t xml:space="preserve">-MT’s CU, </w:t>
      </w:r>
      <w:r w:rsidR="00291904">
        <w:rPr>
          <w:b/>
          <w:sz w:val="22"/>
          <w:szCs w:val="22"/>
        </w:rPr>
        <w:t xml:space="preserve">the </w:t>
      </w:r>
      <w:proofErr w:type="spellStart"/>
      <w:r w:rsidR="00291904">
        <w:rPr>
          <w:b/>
          <w:sz w:val="22"/>
          <w:szCs w:val="22"/>
        </w:rPr>
        <w:t>mIAB</w:t>
      </w:r>
      <w:proofErr w:type="spellEnd"/>
      <w:r w:rsidR="00291904">
        <w:rPr>
          <w:b/>
          <w:sz w:val="22"/>
          <w:szCs w:val="22"/>
        </w:rPr>
        <w:t xml:space="preserve">-MT ID transferred to </w:t>
      </w:r>
      <w:r w:rsidR="00291904" w:rsidRPr="00291904">
        <w:rPr>
          <w:b/>
          <w:sz w:val="22"/>
          <w:szCs w:val="22"/>
        </w:rPr>
        <w:t xml:space="preserve">target logical </w:t>
      </w:r>
      <w:proofErr w:type="spellStart"/>
      <w:r w:rsidR="00291904" w:rsidRPr="00291904">
        <w:rPr>
          <w:b/>
          <w:sz w:val="22"/>
          <w:szCs w:val="22"/>
        </w:rPr>
        <w:t>mIAB</w:t>
      </w:r>
      <w:proofErr w:type="spellEnd"/>
      <w:r w:rsidR="00291904" w:rsidRPr="00291904">
        <w:rPr>
          <w:b/>
          <w:sz w:val="22"/>
          <w:szCs w:val="22"/>
        </w:rPr>
        <w:t xml:space="preserve">-DU’s CU </w:t>
      </w:r>
      <w:r w:rsidR="00291904">
        <w:rPr>
          <w:b/>
          <w:sz w:val="22"/>
          <w:szCs w:val="22"/>
        </w:rPr>
        <w:t xml:space="preserve">should be the </w:t>
      </w:r>
      <w:proofErr w:type="spellStart"/>
      <w:r w:rsidR="00291904">
        <w:rPr>
          <w:b/>
          <w:sz w:val="22"/>
          <w:szCs w:val="22"/>
        </w:rPr>
        <w:t>XnAP</w:t>
      </w:r>
      <w:proofErr w:type="spellEnd"/>
      <w:r w:rsidR="00291904">
        <w:rPr>
          <w:b/>
          <w:sz w:val="22"/>
          <w:szCs w:val="22"/>
        </w:rPr>
        <w:t xml:space="preserve"> UE ID assigned by IAB-MT’s donor-CU</w:t>
      </w:r>
      <w:r w:rsidRPr="00224043">
        <w:rPr>
          <w:b/>
          <w:sz w:val="22"/>
          <w:szCs w:val="22"/>
        </w:rPr>
        <w:t>.</w:t>
      </w:r>
    </w:p>
    <w:p w14:paraId="4DCD3671" w14:textId="3CFBBB30" w:rsidR="00224043" w:rsidRDefault="00224043" w:rsidP="002637D7">
      <w:pPr>
        <w:spacing w:before="120" w:after="0"/>
        <w:rPr>
          <w:b/>
          <w:sz w:val="22"/>
          <w:szCs w:val="22"/>
        </w:rPr>
      </w:pPr>
      <w:r>
        <w:rPr>
          <w:b/>
          <w:sz w:val="22"/>
          <w:szCs w:val="22"/>
        </w:rPr>
        <w:t>Proposal</w:t>
      </w:r>
      <w:r w:rsidR="00C270CC">
        <w:rPr>
          <w:b/>
          <w:sz w:val="22"/>
          <w:szCs w:val="22"/>
        </w:rPr>
        <w:t xml:space="preserve"> </w:t>
      </w:r>
      <w:r w:rsidR="00347B7E">
        <w:rPr>
          <w:b/>
          <w:sz w:val="22"/>
          <w:szCs w:val="22"/>
        </w:rPr>
        <w:t>8</w:t>
      </w:r>
      <w:r>
        <w:rPr>
          <w:b/>
          <w:sz w:val="22"/>
          <w:szCs w:val="22"/>
        </w:rPr>
        <w:t xml:space="preserve">, the </w:t>
      </w:r>
      <w:r w:rsidRPr="00224043">
        <w:rPr>
          <w:b/>
          <w:sz w:val="22"/>
          <w:szCs w:val="22"/>
        </w:rPr>
        <w:t>target IAB-donor-CU of the IAB-DU</w:t>
      </w:r>
      <w:r w:rsidR="006B56B6">
        <w:rPr>
          <w:b/>
          <w:sz w:val="22"/>
          <w:szCs w:val="22"/>
        </w:rPr>
        <w:t>1</w:t>
      </w:r>
      <w:r>
        <w:rPr>
          <w:b/>
          <w:sz w:val="22"/>
          <w:szCs w:val="22"/>
        </w:rPr>
        <w:t xml:space="preserve"> </w:t>
      </w:r>
      <w:r w:rsidR="00291904">
        <w:rPr>
          <w:b/>
          <w:sz w:val="22"/>
          <w:szCs w:val="22"/>
        </w:rPr>
        <w:t xml:space="preserve">should include the </w:t>
      </w:r>
      <w:proofErr w:type="spellStart"/>
      <w:r w:rsidR="00291904">
        <w:rPr>
          <w:b/>
          <w:sz w:val="22"/>
          <w:szCs w:val="22"/>
        </w:rPr>
        <w:t>XnAP</w:t>
      </w:r>
      <w:proofErr w:type="spellEnd"/>
      <w:r w:rsidR="00291904">
        <w:rPr>
          <w:b/>
          <w:sz w:val="22"/>
          <w:szCs w:val="22"/>
        </w:rPr>
        <w:t xml:space="preserve"> UE ID assigned by IAB-MT’s donor-CU</w:t>
      </w:r>
      <w:r w:rsidR="00291904">
        <w:rPr>
          <w:b/>
          <w:sz w:val="22"/>
          <w:szCs w:val="22"/>
        </w:rPr>
        <w:t xml:space="preserve"> in the Transport Migration Request from the target </w:t>
      </w:r>
      <w:proofErr w:type="spellStart"/>
      <w:r w:rsidR="00291904">
        <w:rPr>
          <w:b/>
          <w:sz w:val="22"/>
          <w:szCs w:val="22"/>
        </w:rPr>
        <w:t>mIAB</w:t>
      </w:r>
      <w:proofErr w:type="spellEnd"/>
      <w:r w:rsidR="00291904">
        <w:rPr>
          <w:b/>
          <w:sz w:val="22"/>
          <w:szCs w:val="22"/>
        </w:rPr>
        <w:t>-DU’s donor-CU to the IAB-MT’s donor-CU</w:t>
      </w:r>
      <w:r>
        <w:rPr>
          <w:b/>
          <w:sz w:val="22"/>
          <w:szCs w:val="22"/>
        </w:rPr>
        <w:t>.</w:t>
      </w:r>
    </w:p>
    <w:p w14:paraId="6A471BD0" w14:textId="0C3DD27E" w:rsidR="00224043" w:rsidRDefault="002D43AF" w:rsidP="002637D7">
      <w:pPr>
        <w:spacing w:before="120" w:after="0"/>
        <w:rPr>
          <w:b/>
          <w:sz w:val="22"/>
          <w:szCs w:val="22"/>
        </w:rPr>
      </w:pPr>
      <w:r>
        <w:rPr>
          <w:b/>
          <w:sz w:val="22"/>
          <w:szCs w:val="22"/>
        </w:rPr>
        <w:t>Proposal</w:t>
      </w:r>
      <w:r w:rsidR="00347B7E">
        <w:rPr>
          <w:b/>
          <w:sz w:val="22"/>
          <w:szCs w:val="22"/>
        </w:rPr>
        <w:t xml:space="preserve"> 9</w:t>
      </w:r>
      <w:r>
        <w:rPr>
          <w:b/>
          <w:sz w:val="22"/>
          <w:szCs w:val="22"/>
        </w:rPr>
        <w:t xml:space="preserve">, </w:t>
      </w:r>
      <w:r w:rsidR="00347B7E">
        <w:rPr>
          <w:b/>
          <w:sz w:val="22"/>
          <w:szCs w:val="22"/>
        </w:rPr>
        <w:t>when</w:t>
      </w:r>
      <w:r w:rsidR="00347B7E" w:rsidRPr="00347B7E">
        <w:rPr>
          <w:b/>
          <w:sz w:val="22"/>
          <w:szCs w:val="22"/>
        </w:rPr>
        <w:t xml:space="preserve"> triggering the F1 Setup procedure on the </w:t>
      </w:r>
      <w:proofErr w:type="spellStart"/>
      <w:r w:rsidR="00347B7E" w:rsidRPr="00347B7E">
        <w:rPr>
          <w:b/>
          <w:sz w:val="22"/>
          <w:szCs w:val="22"/>
        </w:rPr>
        <w:t>mIAB</w:t>
      </w:r>
      <w:proofErr w:type="spellEnd"/>
      <w:r w:rsidR="00347B7E" w:rsidRPr="00347B7E">
        <w:rPr>
          <w:b/>
          <w:sz w:val="22"/>
          <w:szCs w:val="22"/>
        </w:rPr>
        <w:t xml:space="preserve">-node, the source logical </w:t>
      </w:r>
      <w:proofErr w:type="spellStart"/>
      <w:r w:rsidR="00347B7E" w:rsidRPr="00347B7E">
        <w:rPr>
          <w:b/>
          <w:sz w:val="22"/>
          <w:szCs w:val="22"/>
        </w:rPr>
        <w:t>mIAB</w:t>
      </w:r>
      <w:proofErr w:type="spellEnd"/>
      <w:r w:rsidR="00347B7E" w:rsidRPr="00347B7E">
        <w:rPr>
          <w:b/>
          <w:sz w:val="22"/>
          <w:szCs w:val="22"/>
        </w:rPr>
        <w:t xml:space="preserve">-DU’s CU to include </w:t>
      </w:r>
      <w:proofErr w:type="spellStart"/>
      <w:r w:rsidR="00347B7E">
        <w:rPr>
          <w:b/>
          <w:sz w:val="22"/>
          <w:szCs w:val="22"/>
        </w:rPr>
        <w:t>gNB</w:t>
      </w:r>
      <w:proofErr w:type="spellEnd"/>
      <w:r w:rsidR="00347B7E">
        <w:rPr>
          <w:b/>
          <w:sz w:val="22"/>
          <w:szCs w:val="22"/>
        </w:rPr>
        <w:t>-ID</w:t>
      </w:r>
      <w:r w:rsidR="00347B7E" w:rsidRPr="00347B7E">
        <w:rPr>
          <w:b/>
          <w:sz w:val="22"/>
          <w:szCs w:val="22"/>
        </w:rPr>
        <w:t xml:space="preserve"> of target logical </w:t>
      </w:r>
      <w:proofErr w:type="spellStart"/>
      <w:r w:rsidR="00347B7E" w:rsidRPr="00347B7E">
        <w:rPr>
          <w:b/>
          <w:sz w:val="22"/>
          <w:szCs w:val="22"/>
        </w:rPr>
        <w:t>mIAB</w:t>
      </w:r>
      <w:proofErr w:type="spellEnd"/>
      <w:r w:rsidR="00347B7E" w:rsidRPr="00347B7E">
        <w:rPr>
          <w:b/>
          <w:sz w:val="22"/>
          <w:szCs w:val="22"/>
        </w:rPr>
        <w:t xml:space="preserve">-DU’s </w:t>
      </w:r>
      <w:r w:rsidR="00347B7E">
        <w:rPr>
          <w:b/>
          <w:sz w:val="22"/>
          <w:szCs w:val="22"/>
        </w:rPr>
        <w:t>CU.</w:t>
      </w:r>
    </w:p>
    <w:p w14:paraId="0C943B22" w14:textId="393D1A02" w:rsidR="009A695F" w:rsidRDefault="009A695F" w:rsidP="002637D7">
      <w:pPr>
        <w:spacing w:before="120" w:after="0"/>
        <w:rPr>
          <w:b/>
          <w:sz w:val="22"/>
          <w:szCs w:val="22"/>
        </w:rPr>
      </w:pPr>
    </w:p>
    <w:p w14:paraId="781B8F0C" w14:textId="5FFCA5C7" w:rsidR="009A695F" w:rsidRPr="00D11936" w:rsidRDefault="000858F1" w:rsidP="00CF3D95">
      <w:pPr>
        <w:pStyle w:val="2"/>
        <w:numPr>
          <w:ilvl w:val="1"/>
          <w:numId w:val="29"/>
        </w:numPr>
      </w:pPr>
      <w:r>
        <w:t xml:space="preserve"> </w:t>
      </w:r>
      <w:r w:rsidR="00D11936">
        <w:t>A</w:t>
      </w:r>
      <w:r w:rsidR="009A695F">
        <w:t xml:space="preserve">dditional ULI  </w:t>
      </w:r>
    </w:p>
    <w:p w14:paraId="7A43F798" w14:textId="2D97FAB1" w:rsidR="009A695F" w:rsidRPr="00CF3D95" w:rsidRDefault="00CF3D95" w:rsidP="00CF3D95">
      <w:pPr>
        <w:pStyle w:val="Agreement"/>
        <w:numPr>
          <w:ilvl w:val="0"/>
          <w:numId w:val="0"/>
        </w:numPr>
        <w:tabs>
          <w:tab w:val="left" w:pos="720"/>
        </w:tabs>
        <w:rPr>
          <w:rFonts w:ascii="Times New Roman" w:hAnsi="Times New Roman"/>
          <w:b w:val="0"/>
          <w:sz w:val="22"/>
        </w:rPr>
      </w:pPr>
      <w:r w:rsidRPr="00CF3D95">
        <w:rPr>
          <w:rFonts w:ascii="Times New Roman" w:hAnsi="Times New Roman"/>
          <w:b w:val="0"/>
          <w:sz w:val="22"/>
        </w:rPr>
        <w:t xml:space="preserve">In last RAN3 meeting, </w:t>
      </w:r>
      <w:r w:rsidR="009A695F" w:rsidRPr="00CF3D95">
        <w:rPr>
          <w:rFonts w:ascii="Times New Roman" w:hAnsi="Times New Roman"/>
          <w:b w:val="0"/>
          <w:sz w:val="22"/>
        </w:rPr>
        <w:t xml:space="preserve">RAN3 replied to SA2’s LS on VMR in R3-211011 on the inclusion of </w:t>
      </w:r>
      <w:proofErr w:type="spellStart"/>
      <w:r w:rsidR="009A695F" w:rsidRPr="00CF3D95">
        <w:rPr>
          <w:rFonts w:ascii="Times New Roman" w:hAnsi="Times New Roman"/>
          <w:b w:val="0"/>
          <w:sz w:val="22"/>
        </w:rPr>
        <w:t>mIAB</w:t>
      </w:r>
      <w:proofErr w:type="spellEnd"/>
      <w:r w:rsidR="009A695F" w:rsidRPr="00CF3D95">
        <w:rPr>
          <w:rFonts w:ascii="Times New Roman" w:hAnsi="Times New Roman"/>
          <w:b w:val="0"/>
          <w:sz w:val="22"/>
        </w:rPr>
        <w:t>-MT’s ULI with UE’s ULI:</w:t>
      </w:r>
    </w:p>
    <w:p w14:paraId="07AC9905" w14:textId="423E82BC" w:rsidR="00CF3D95" w:rsidRPr="00CF3D95" w:rsidRDefault="009A695F" w:rsidP="00CF3D95">
      <w:pPr>
        <w:numPr>
          <w:ilvl w:val="0"/>
          <w:numId w:val="28"/>
        </w:numPr>
        <w:spacing w:after="0"/>
        <w:jc w:val="both"/>
        <w:rPr>
          <w:rFonts w:ascii="Arial" w:hAnsi="Arial" w:cs="Arial"/>
          <w:szCs w:val="18"/>
        </w:rPr>
      </w:pPr>
      <w:r w:rsidRPr="00CF3D95">
        <w:rPr>
          <w:rFonts w:ascii="Arial" w:hAnsi="Arial" w:cs="Arial"/>
          <w:sz w:val="18"/>
          <w:szCs w:val="16"/>
        </w:rPr>
        <w:t xml:space="preserve">For point#7 (regarding KI#6): RAN3 believes that the functionality requested to provide UE location in point#7 can be accommodated within Rel-18.  </w:t>
      </w:r>
    </w:p>
    <w:p w14:paraId="1055E9F1" w14:textId="629BA242" w:rsidR="00CF3D95" w:rsidRPr="00CF3D95" w:rsidRDefault="00CF3D95" w:rsidP="00CF3D95">
      <w:pPr>
        <w:spacing w:before="120" w:after="0"/>
        <w:rPr>
          <w:sz w:val="22"/>
          <w:szCs w:val="22"/>
        </w:rPr>
      </w:pPr>
      <w:r w:rsidRPr="00CF3D95">
        <w:rPr>
          <w:sz w:val="22"/>
          <w:szCs w:val="22"/>
        </w:rPr>
        <w:t>Regarding how to support of additional ULI for UE served by mobile IAB, we think two cases can be further considered:</w:t>
      </w:r>
    </w:p>
    <w:p w14:paraId="4AFC7F78" w14:textId="607E157C" w:rsidR="00CF3D95" w:rsidRPr="00CF3D95" w:rsidRDefault="00CF3D95" w:rsidP="00CF3D95">
      <w:pPr>
        <w:spacing w:before="120" w:after="0"/>
        <w:rPr>
          <w:sz w:val="22"/>
          <w:szCs w:val="22"/>
        </w:rPr>
      </w:pPr>
      <w:r w:rsidRPr="00CF3D95">
        <w:rPr>
          <w:sz w:val="22"/>
          <w:szCs w:val="22"/>
        </w:rPr>
        <w:t xml:space="preserve">- </w:t>
      </w:r>
      <w:r>
        <w:rPr>
          <w:sz w:val="22"/>
          <w:szCs w:val="22"/>
        </w:rPr>
        <w:t>F</w:t>
      </w:r>
      <w:r w:rsidRPr="00CF3D95">
        <w:rPr>
          <w:sz w:val="22"/>
          <w:szCs w:val="22"/>
        </w:rPr>
        <w:t xml:space="preserve">or the case that the IAB-MT and IAB-DU are connected to the same IAB-donor-CU, the serving IAB-donor-CU of mobile IAB </w:t>
      </w:r>
      <w:r w:rsidR="000858F1">
        <w:rPr>
          <w:sz w:val="22"/>
          <w:szCs w:val="22"/>
        </w:rPr>
        <w:t>can</w:t>
      </w:r>
      <w:r w:rsidRPr="00CF3D95">
        <w:rPr>
          <w:sz w:val="22"/>
          <w:szCs w:val="22"/>
        </w:rPr>
        <w:t xml:space="preserve"> provide the IAB-MT’s ULI as additional ULI of the UEs served by mobile IAB-node via UE associated NGAP message.</w:t>
      </w:r>
    </w:p>
    <w:p w14:paraId="6F178E11" w14:textId="29FF5907" w:rsidR="009A695F" w:rsidRDefault="00CF3D95" w:rsidP="00CF3D95">
      <w:pPr>
        <w:spacing w:before="120" w:after="0"/>
        <w:rPr>
          <w:sz w:val="22"/>
          <w:szCs w:val="22"/>
        </w:rPr>
      </w:pPr>
      <w:r w:rsidRPr="00CF3D95">
        <w:rPr>
          <w:sz w:val="22"/>
          <w:szCs w:val="22"/>
        </w:rPr>
        <w:t xml:space="preserve">- </w:t>
      </w:r>
      <w:r>
        <w:rPr>
          <w:sz w:val="22"/>
          <w:szCs w:val="22"/>
        </w:rPr>
        <w:t>F</w:t>
      </w:r>
      <w:r w:rsidRPr="00CF3D95">
        <w:rPr>
          <w:sz w:val="22"/>
          <w:szCs w:val="22"/>
        </w:rPr>
        <w:t xml:space="preserve">or the case that the IAB-MT and IAB-DU are connected to different IAB-donor-CUs, one possible solution is that the IAB-donor-CU of mobile IAB-DU can provide the IAB-MT’s ULI as additional ULI of the UEs served by mobile IAB-node via UE associated NGAP message, the IAB-donor-CU of mobile IAB-DU can obtain the IAB-MT’s ULI from the IAB-donor-CU of mobile IAB-MT via </w:t>
      </w:r>
      <w:proofErr w:type="spellStart"/>
      <w:r w:rsidRPr="00CF3D95">
        <w:rPr>
          <w:sz w:val="22"/>
          <w:szCs w:val="22"/>
        </w:rPr>
        <w:t>XnAP</w:t>
      </w:r>
      <w:proofErr w:type="spellEnd"/>
      <w:r w:rsidRPr="00CF3D95">
        <w:rPr>
          <w:sz w:val="22"/>
          <w:szCs w:val="22"/>
        </w:rPr>
        <w:t xml:space="preserve"> message.</w:t>
      </w:r>
    </w:p>
    <w:p w14:paraId="44072820" w14:textId="005F78C6" w:rsidR="008F2AD0" w:rsidRDefault="008F2AD0" w:rsidP="00CF3D95">
      <w:pPr>
        <w:spacing w:before="120" w:after="0"/>
        <w:rPr>
          <w:sz w:val="22"/>
          <w:szCs w:val="22"/>
        </w:rPr>
      </w:pPr>
      <w:r>
        <w:rPr>
          <w:sz w:val="22"/>
          <w:szCs w:val="22"/>
        </w:rPr>
        <w:t>In our understanding, the IAB-MT’s ULI will change after the</w:t>
      </w:r>
      <w:r w:rsidR="000858F1">
        <w:rPr>
          <w:sz w:val="22"/>
          <w:szCs w:val="22"/>
        </w:rPr>
        <w:t xml:space="preserve"> every</w:t>
      </w:r>
      <w:r>
        <w:rPr>
          <w:sz w:val="22"/>
          <w:szCs w:val="22"/>
        </w:rPr>
        <w:t xml:space="preserve"> IAB-MT’s handover</w:t>
      </w:r>
      <w:r w:rsidR="000858F1">
        <w:rPr>
          <w:sz w:val="22"/>
          <w:szCs w:val="22"/>
        </w:rPr>
        <w:t xml:space="preserve"> including inter-donor or intra-donor handover</w:t>
      </w:r>
      <w:r>
        <w:rPr>
          <w:sz w:val="22"/>
          <w:szCs w:val="22"/>
        </w:rPr>
        <w:t>, and we already have an agreement as below:</w:t>
      </w:r>
    </w:p>
    <w:p w14:paraId="3E8F2B0B" w14:textId="77777777" w:rsidR="008F2AD0" w:rsidRPr="0031492F" w:rsidRDefault="008F2AD0" w:rsidP="008F2AD0">
      <w:pPr>
        <w:spacing w:before="120" w:after="0"/>
        <w:ind w:left="360"/>
        <w:rPr>
          <w:rFonts w:ascii="Calibri" w:hAnsi="Calibri" w:cs="Calibri"/>
          <w:b/>
          <w:bCs/>
          <w:color w:val="008000"/>
        </w:rPr>
      </w:pPr>
      <w:r w:rsidRPr="0031492F">
        <w:rPr>
          <w:rFonts w:ascii="Calibri" w:hAnsi="Calibri" w:cs="Calibri"/>
          <w:b/>
          <w:bCs/>
          <w:color w:val="008000"/>
        </w:rPr>
        <w:t xml:space="preserve">The source donor CU for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 xml:space="preserve">-MT HO provides to the donor CU serving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-DU at least the:</w:t>
      </w:r>
    </w:p>
    <w:p w14:paraId="15732BE0" w14:textId="77777777" w:rsidR="008F2AD0" w:rsidRPr="0031492F" w:rsidRDefault="008F2AD0" w:rsidP="008F2AD0">
      <w:pPr>
        <w:spacing w:before="120" w:after="0"/>
        <w:ind w:left="360"/>
        <w:rPr>
          <w:rFonts w:ascii="Calibri" w:hAnsi="Calibri" w:cs="Calibri"/>
          <w:b/>
          <w:bCs/>
          <w:color w:val="008000"/>
        </w:rPr>
      </w:pPr>
      <w:r w:rsidRPr="0031492F">
        <w:rPr>
          <w:rFonts w:ascii="Calibri" w:hAnsi="Calibri" w:cs="Calibri"/>
          <w:b/>
          <w:bCs/>
          <w:color w:val="008000"/>
        </w:rPr>
        <w:t>•</w:t>
      </w:r>
      <w:r w:rsidRPr="0031492F">
        <w:rPr>
          <w:rFonts w:ascii="Calibri" w:hAnsi="Calibri" w:cs="Calibri"/>
          <w:b/>
          <w:bCs/>
          <w:color w:val="008000"/>
        </w:rPr>
        <w:tab/>
      </w:r>
      <w:proofErr w:type="spellStart"/>
      <w:r w:rsidRPr="0031492F">
        <w:rPr>
          <w:rFonts w:ascii="Calibri" w:hAnsi="Calibri" w:cs="Calibri"/>
          <w:b/>
          <w:bCs/>
          <w:color w:val="008000"/>
        </w:rPr>
        <w:t>gNB</w:t>
      </w:r>
      <w:proofErr w:type="spellEnd"/>
      <w:r w:rsidRPr="0031492F">
        <w:rPr>
          <w:rFonts w:ascii="Calibri" w:hAnsi="Calibri" w:cs="Calibri"/>
          <w:b/>
          <w:bCs/>
          <w:color w:val="008000"/>
        </w:rPr>
        <w:t xml:space="preserve"> ID of the target donor CU for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-MT HO.</w:t>
      </w:r>
    </w:p>
    <w:p w14:paraId="7E66F2E8" w14:textId="77777777" w:rsidR="008F2AD0" w:rsidRPr="0031492F" w:rsidRDefault="008F2AD0" w:rsidP="008F2AD0">
      <w:pPr>
        <w:spacing w:before="120" w:after="0"/>
        <w:ind w:left="360"/>
        <w:rPr>
          <w:rFonts w:ascii="Calibri" w:hAnsi="Calibri" w:cs="Calibri"/>
          <w:bCs/>
          <w:color w:val="0000FF"/>
        </w:rPr>
      </w:pPr>
      <w:r w:rsidRPr="0031492F">
        <w:rPr>
          <w:rFonts w:ascii="Calibri" w:hAnsi="Calibri" w:cs="Calibri"/>
          <w:b/>
          <w:bCs/>
          <w:color w:val="008000"/>
        </w:rPr>
        <w:t>•</w:t>
      </w:r>
      <w:r w:rsidRPr="0031492F">
        <w:rPr>
          <w:rFonts w:ascii="Calibri" w:hAnsi="Calibri" w:cs="Calibri"/>
          <w:b/>
          <w:bCs/>
          <w:color w:val="008000"/>
        </w:rPr>
        <w:tab/>
        <w:t xml:space="preserve">ID(s) of the </w:t>
      </w:r>
      <w:proofErr w:type="spellStart"/>
      <w:r w:rsidRPr="0031492F">
        <w:rPr>
          <w:rFonts w:ascii="Calibri" w:hAnsi="Calibri" w:cs="Calibri"/>
          <w:b/>
          <w:bCs/>
          <w:color w:val="008000"/>
        </w:rPr>
        <w:t>mIAB</w:t>
      </w:r>
      <w:proofErr w:type="spellEnd"/>
      <w:r w:rsidRPr="0031492F">
        <w:rPr>
          <w:rFonts w:ascii="Calibri" w:hAnsi="Calibri" w:cs="Calibri"/>
          <w:b/>
          <w:bCs/>
          <w:color w:val="008000"/>
        </w:rPr>
        <w:t xml:space="preserve">-MT. </w:t>
      </w:r>
      <w:r w:rsidRPr="0031492F">
        <w:rPr>
          <w:rFonts w:ascii="Calibri" w:hAnsi="Calibri" w:cs="Calibri"/>
          <w:bCs/>
          <w:color w:val="0000FF"/>
        </w:rPr>
        <w:t xml:space="preserve">How the </w:t>
      </w:r>
      <w:proofErr w:type="spellStart"/>
      <w:r w:rsidRPr="0031492F">
        <w:rPr>
          <w:rFonts w:ascii="Calibri" w:hAnsi="Calibri" w:cs="Calibri"/>
          <w:bCs/>
          <w:color w:val="0000FF"/>
        </w:rPr>
        <w:t>mIAB</w:t>
      </w:r>
      <w:proofErr w:type="spellEnd"/>
      <w:r w:rsidRPr="0031492F">
        <w:rPr>
          <w:rFonts w:ascii="Calibri" w:hAnsi="Calibri" w:cs="Calibri"/>
          <w:bCs/>
          <w:color w:val="0000FF"/>
        </w:rPr>
        <w:t>-MT ID is maintained across migrations needs to be further discussed.</w:t>
      </w:r>
    </w:p>
    <w:p w14:paraId="4E81B9DF" w14:textId="77777777" w:rsidR="008F2AD0" w:rsidRPr="0031492F" w:rsidRDefault="008F2AD0" w:rsidP="008F2AD0">
      <w:pPr>
        <w:ind w:left="360"/>
        <w:rPr>
          <w:rFonts w:ascii="Calibri" w:hAnsi="Calibri" w:cs="Calibri"/>
          <w:bCs/>
          <w:color w:val="008000"/>
        </w:rPr>
      </w:pPr>
      <w:r w:rsidRPr="0031492F">
        <w:rPr>
          <w:rFonts w:ascii="Calibri" w:hAnsi="Calibri" w:cs="Calibri"/>
          <w:b/>
          <w:color w:val="008000"/>
        </w:rPr>
        <w:t xml:space="preserve">The </w:t>
      </w:r>
      <w:proofErr w:type="spellStart"/>
      <w:r w:rsidRPr="0031492F">
        <w:rPr>
          <w:rFonts w:ascii="Calibri" w:hAnsi="Calibri" w:cs="Calibri"/>
          <w:b/>
          <w:color w:val="008000"/>
        </w:rPr>
        <w:t>mIAB</w:t>
      </w:r>
      <w:proofErr w:type="spellEnd"/>
      <w:r w:rsidRPr="0031492F">
        <w:rPr>
          <w:rFonts w:ascii="Calibri" w:hAnsi="Calibri" w:cs="Calibri"/>
          <w:b/>
          <w:color w:val="008000"/>
        </w:rPr>
        <w:t xml:space="preserve">-MT ID sent by the </w:t>
      </w:r>
      <w:proofErr w:type="spellStart"/>
      <w:r w:rsidRPr="0031492F">
        <w:rPr>
          <w:rFonts w:ascii="Calibri" w:hAnsi="Calibri" w:cs="Calibri"/>
          <w:b/>
          <w:color w:val="008000"/>
        </w:rPr>
        <w:t>mIAB</w:t>
      </w:r>
      <w:proofErr w:type="spellEnd"/>
      <w:r w:rsidRPr="0031492F">
        <w:rPr>
          <w:rFonts w:ascii="Calibri" w:hAnsi="Calibri" w:cs="Calibri"/>
          <w:b/>
          <w:color w:val="008000"/>
        </w:rPr>
        <w:t xml:space="preserve">-MT’s source donor CU to the </w:t>
      </w:r>
      <w:proofErr w:type="spellStart"/>
      <w:r w:rsidRPr="0031492F">
        <w:rPr>
          <w:rFonts w:ascii="Calibri" w:hAnsi="Calibri" w:cs="Calibri"/>
          <w:b/>
          <w:color w:val="008000"/>
        </w:rPr>
        <w:t>mIAB</w:t>
      </w:r>
      <w:proofErr w:type="spellEnd"/>
      <w:r w:rsidRPr="0031492F">
        <w:rPr>
          <w:rFonts w:ascii="Calibri" w:hAnsi="Calibri" w:cs="Calibri"/>
          <w:b/>
          <w:color w:val="008000"/>
        </w:rPr>
        <w:t xml:space="preserve">-DU’s donor CU is the </w:t>
      </w:r>
      <w:proofErr w:type="spellStart"/>
      <w:r w:rsidRPr="0031492F">
        <w:rPr>
          <w:rFonts w:ascii="Calibri" w:hAnsi="Calibri" w:cs="Calibri"/>
          <w:b/>
          <w:color w:val="008000"/>
        </w:rPr>
        <w:t>XnAP</w:t>
      </w:r>
      <w:proofErr w:type="spellEnd"/>
      <w:r w:rsidRPr="0031492F">
        <w:rPr>
          <w:rFonts w:ascii="Calibri" w:hAnsi="Calibri" w:cs="Calibri"/>
          <w:b/>
          <w:color w:val="008000"/>
        </w:rPr>
        <w:t xml:space="preserve"> UE ID.</w:t>
      </w:r>
      <w:r w:rsidRPr="0031492F">
        <w:rPr>
          <w:rFonts w:ascii="Calibri" w:hAnsi="Calibri" w:cs="Calibri"/>
          <w:bCs/>
          <w:color w:val="008000"/>
        </w:rPr>
        <w:t xml:space="preserve"> </w:t>
      </w:r>
      <w:r w:rsidRPr="0031492F">
        <w:rPr>
          <w:rFonts w:ascii="Calibri" w:hAnsi="Calibri" w:cs="Calibri"/>
          <w:b/>
          <w:bCs/>
          <w:color w:val="0000FF"/>
        </w:rPr>
        <w:t>FFS which donor generates this ID.</w:t>
      </w:r>
      <w:r w:rsidRPr="0031492F">
        <w:rPr>
          <w:rFonts w:ascii="Calibri" w:hAnsi="Calibri" w:cs="Calibri"/>
          <w:bCs/>
          <w:color w:val="008000"/>
        </w:rPr>
        <w:t xml:space="preserve"> </w:t>
      </w:r>
    </w:p>
    <w:p w14:paraId="72B90203" w14:textId="2E03CC8F" w:rsidR="008F2AD0" w:rsidRDefault="008F2AD0" w:rsidP="00CF3D95">
      <w:pPr>
        <w:spacing w:before="120" w:after="0"/>
        <w:rPr>
          <w:sz w:val="22"/>
          <w:szCs w:val="22"/>
        </w:rPr>
      </w:pPr>
      <w:r>
        <w:rPr>
          <w:sz w:val="22"/>
          <w:szCs w:val="22"/>
        </w:rPr>
        <w:t>Based on the above agreement, we think the ULI of IAB-MT can be provided together with the above information</w:t>
      </w:r>
      <w:r w:rsidR="000858F1">
        <w:rPr>
          <w:sz w:val="22"/>
          <w:szCs w:val="22"/>
        </w:rPr>
        <w:t xml:space="preserve"> after every IAB-MT handover</w:t>
      </w:r>
      <w:r w:rsidR="00347B7E">
        <w:rPr>
          <w:sz w:val="22"/>
          <w:szCs w:val="22"/>
        </w:rPr>
        <w:t>.</w:t>
      </w:r>
    </w:p>
    <w:p w14:paraId="01780394" w14:textId="36F41BFB" w:rsidR="00CF3D95" w:rsidRDefault="00CF3D95" w:rsidP="00CF3D95">
      <w:pPr>
        <w:spacing w:before="120" w:after="0"/>
        <w:rPr>
          <w:b/>
          <w:sz w:val="22"/>
          <w:szCs w:val="22"/>
        </w:rPr>
      </w:pPr>
      <w:r w:rsidRPr="00CF3D95">
        <w:rPr>
          <w:b/>
          <w:sz w:val="22"/>
          <w:szCs w:val="22"/>
        </w:rPr>
        <w:t>Proposal</w:t>
      </w:r>
      <w:r w:rsidR="00347B7E">
        <w:rPr>
          <w:b/>
          <w:sz w:val="22"/>
          <w:szCs w:val="22"/>
        </w:rPr>
        <w:t xml:space="preserve"> 10</w:t>
      </w:r>
      <w:r w:rsidRPr="00CF3D95">
        <w:rPr>
          <w:b/>
          <w:sz w:val="22"/>
          <w:szCs w:val="22"/>
        </w:rPr>
        <w:t xml:space="preserve">, RAN3 agree to introduce </w:t>
      </w:r>
      <w:r>
        <w:rPr>
          <w:b/>
          <w:sz w:val="22"/>
          <w:szCs w:val="22"/>
        </w:rPr>
        <w:t xml:space="preserve">IAB-MT’s ULI as </w:t>
      </w:r>
      <w:r w:rsidRPr="00CF3D95">
        <w:rPr>
          <w:b/>
          <w:sz w:val="22"/>
          <w:szCs w:val="22"/>
        </w:rPr>
        <w:t xml:space="preserve">additional ULI </w:t>
      </w:r>
      <w:r>
        <w:rPr>
          <w:b/>
          <w:sz w:val="22"/>
          <w:szCs w:val="22"/>
        </w:rPr>
        <w:t>of UE over NGAP.</w:t>
      </w:r>
    </w:p>
    <w:p w14:paraId="1DF7B68C" w14:textId="77777777" w:rsidR="00C6306F" w:rsidRDefault="00CF3D95" w:rsidP="00CF3D95">
      <w:pPr>
        <w:spacing w:before="120" w:after="0"/>
        <w:rPr>
          <w:b/>
          <w:sz w:val="22"/>
          <w:szCs w:val="22"/>
        </w:rPr>
      </w:pPr>
      <w:r>
        <w:rPr>
          <w:b/>
          <w:sz w:val="22"/>
          <w:szCs w:val="22"/>
        </w:rPr>
        <w:t>Proposal</w:t>
      </w:r>
      <w:r w:rsidR="00347B7E">
        <w:rPr>
          <w:b/>
          <w:sz w:val="22"/>
          <w:szCs w:val="22"/>
        </w:rPr>
        <w:t xml:space="preserve"> 11</w:t>
      </w:r>
      <w:r>
        <w:rPr>
          <w:b/>
          <w:sz w:val="22"/>
          <w:szCs w:val="22"/>
        </w:rPr>
        <w:t xml:space="preserve">, </w:t>
      </w:r>
      <w:r w:rsidR="00C6306F">
        <w:rPr>
          <w:b/>
          <w:sz w:val="22"/>
          <w:szCs w:val="22"/>
        </w:rPr>
        <w:t>the serving donor CU of the IAB-DU is responsible to provide the additional ULI to UE AMF.</w:t>
      </w:r>
    </w:p>
    <w:p w14:paraId="049F2F99" w14:textId="3B2BE4DD" w:rsidR="00CF3D95" w:rsidRPr="00CF3D95" w:rsidRDefault="00CF3D95" w:rsidP="00CF3D95">
      <w:pPr>
        <w:spacing w:before="120" w:after="0"/>
        <w:rPr>
          <w:b/>
          <w:sz w:val="22"/>
          <w:szCs w:val="22"/>
        </w:rPr>
      </w:pPr>
      <w:r w:rsidRPr="00CF3D95">
        <w:rPr>
          <w:b/>
          <w:sz w:val="22"/>
          <w:szCs w:val="22"/>
        </w:rPr>
        <w:t>Proposal</w:t>
      </w:r>
      <w:r w:rsidR="00347B7E">
        <w:rPr>
          <w:b/>
          <w:sz w:val="22"/>
          <w:szCs w:val="22"/>
        </w:rPr>
        <w:t xml:space="preserve"> 12</w:t>
      </w:r>
      <w:r w:rsidRPr="00CF3D95">
        <w:rPr>
          <w:b/>
          <w:sz w:val="22"/>
          <w:szCs w:val="22"/>
        </w:rPr>
        <w:t xml:space="preserve">, the source donor CU for the </w:t>
      </w:r>
      <w:proofErr w:type="spellStart"/>
      <w:r w:rsidRPr="00CF3D95">
        <w:rPr>
          <w:b/>
          <w:sz w:val="22"/>
          <w:szCs w:val="22"/>
        </w:rPr>
        <w:t>mIAB</w:t>
      </w:r>
      <w:proofErr w:type="spellEnd"/>
      <w:r w:rsidRPr="00CF3D95">
        <w:rPr>
          <w:b/>
          <w:sz w:val="22"/>
          <w:szCs w:val="22"/>
        </w:rPr>
        <w:t xml:space="preserve">-MT HO provides to the donor CU serving the </w:t>
      </w:r>
      <w:proofErr w:type="spellStart"/>
      <w:r w:rsidRPr="00CF3D95">
        <w:rPr>
          <w:b/>
          <w:sz w:val="22"/>
          <w:szCs w:val="22"/>
        </w:rPr>
        <w:t>mIAB</w:t>
      </w:r>
      <w:proofErr w:type="spellEnd"/>
      <w:r w:rsidRPr="00CF3D95">
        <w:rPr>
          <w:b/>
          <w:sz w:val="22"/>
          <w:szCs w:val="22"/>
        </w:rPr>
        <w:t xml:space="preserve">-DU the ULI of IAB-MT after </w:t>
      </w:r>
      <w:r w:rsidR="000858F1">
        <w:rPr>
          <w:b/>
          <w:sz w:val="22"/>
          <w:szCs w:val="22"/>
        </w:rPr>
        <w:t>every</w:t>
      </w:r>
      <w:r w:rsidRPr="00CF3D95">
        <w:rPr>
          <w:b/>
          <w:sz w:val="22"/>
          <w:szCs w:val="22"/>
        </w:rPr>
        <w:t xml:space="preserve"> </w:t>
      </w:r>
      <w:proofErr w:type="spellStart"/>
      <w:r w:rsidRPr="00CF3D95">
        <w:rPr>
          <w:b/>
          <w:sz w:val="22"/>
          <w:szCs w:val="22"/>
        </w:rPr>
        <w:t>mIAB</w:t>
      </w:r>
      <w:proofErr w:type="spellEnd"/>
      <w:r w:rsidRPr="00CF3D95">
        <w:rPr>
          <w:b/>
          <w:sz w:val="22"/>
          <w:szCs w:val="22"/>
        </w:rPr>
        <w:t>-MT HO.</w:t>
      </w:r>
    </w:p>
    <w:bookmarkEnd w:id="0"/>
    <w:p w14:paraId="0D110258" w14:textId="77777777" w:rsidR="00CD4C7B" w:rsidRPr="006E13D1" w:rsidRDefault="00972FD7" w:rsidP="00CD4C7B">
      <w:pPr>
        <w:pStyle w:val="1"/>
      </w:pPr>
      <w:r>
        <w:t>3</w:t>
      </w:r>
      <w:r w:rsidR="00CD4C7B" w:rsidRPr="006E13D1">
        <w:tab/>
      </w:r>
      <w:r>
        <w:t>Conclusion</w:t>
      </w:r>
    </w:p>
    <w:p w14:paraId="6093981F" w14:textId="700BB133" w:rsidR="00CD4C7B" w:rsidRDefault="00755770" w:rsidP="00CD4C7B">
      <w:r>
        <w:t>In this contribution, we had the following observations and proposals.</w:t>
      </w:r>
    </w:p>
    <w:p w14:paraId="2B4BAB26" w14:textId="77777777" w:rsidR="00347B7E" w:rsidRPr="0031492F" w:rsidRDefault="00347B7E" w:rsidP="00347B7E">
      <w:pPr>
        <w:rPr>
          <w:b/>
        </w:rPr>
      </w:pPr>
      <w:r w:rsidRPr="0031492F">
        <w:rPr>
          <w:b/>
        </w:rPr>
        <w:t xml:space="preserve">Proposal </w:t>
      </w:r>
      <w:r>
        <w:rPr>
          <w:b/>
        </w:rPr>
        <w:t>1</w:t>
      </w:r>
      <w:r w:rsidRPr="0031492F">
        <w:rPr>
          <w:b/>
        </w:rPr>
        <w:t>, RAN3 to down-select the following options on how the target donor CU of IAB-MT identify the UE (i.e. IAB-MT) when receiving the migration related message from the donor-CU of the IAB-DU</w:t>
      </w:r>
    </w:p>
    <w:p w14:paraId="10F1990A" w14:textId="77777777" w:rsidR="00347B7E" w:rsidRPr="0031492F" w:rsidRDefault="00347B7E" w:rsidP="00347B7E">
      <w:pPr>
        <w:rPr>
          <w:b/>
          <w:lang w:val="en-US"/>
        </w:rPr>
      </w:pPr>
      <w:r w:rsidRPr="0031492F">
        <w:rPr>
          <w:b/>
        </w:rPr>
        <w:t xml:space="preserve"> </w:t>
      </w:r>
      <w:r w:rsidRPr="0031492F">
        <w:rPr>
          <w:b/>
          <w:lang w:val="en-US"/>
        </w:rPr>
        <w:t>-</w:t>
      </w:r>
      <w:r w:rsidRPr="0031492F">
        <w:rPr>
          <w:b/>
          <w:lang w:val="en-US"/>
        </w:rPr>
        <w:tab/>
        <w:t xml:space="preserve">Option A, source donor-CU of IAB-MT send the </w:t>
      </w:r>
      <w:proofErr w:type="spellStart"/>
      <w:r w:rsidRPr="0031492F">
        <w:rPr>
          <w:b/>
          <w:lang w:val="en-US"/>
        </w:rPr>
        <w:t>XnAP</w:t>
      </w:r>
      <w:proofErr w:type="spellEnd"/>
      <w:r w:rsidRPr="0031492F">
        <w:rPr>
          <w:b/>
          <w:lang w:val="en-US"/>
        </w:rPr>
        <w:t xml:space="preserve"> UE ID allocated by target donor-CU of IAB-MT to donor-CU of IAB-DU, donor-CU of IAB-DU include this ID in the message sent to target donor-CU of IAB-MT.</w:t>
      </w:r>
    </w:p>
    <w:p w14:paraId="1F88CC02" w14:textId="77777777" w:rsidR="00347B7E" w:rsidRPr="0031492F" w:rsidRDefault="00347B7E" w:rsidP="00347B7E">
      <w:pPr>
        <w:rPr>
          <w:b/>
          <w:lang w:val="en-US"/>
        </w:rPr>
      </w:pPr>
      <w:r w:rsidRPr="0031492F">
        <w:rPr>
          <w:b/>
          <w:lang w:val="en-US"/>
        </w:rPr>
        <w:t>-</w:t>
      </w:r>
      <w:r w:rsidRPr="0031492F">
        <w:rPr>
          <w:b/>
          <w:lang w:val="en-US"/>
        </w:rPr>
        <w:tab/>
        <w:t xml:space="preserve">Option B, source donor-CU of IAB-MT send the </w:t>
      </w:r>
      <w:proofErr w:type="spellStart"/>
      <w:r w:rsidRPr="0031492F">
        <w:rPr>
          <w:b/>
          <w:lang w:val="en-US"/>
        </w:rPr>
        <w:t>XnAP</w:t>
      </w:r>
      <w:proofErr w:type="spellEnd"/>
      <w:r w:rsidRPr="0031492F">
        <w:rPr>
          <w:b/>
          <w:lang w:val="en-US"/>
        </w:rPr>
        <w:t xml:space="preserve"> UE ID allocated by donor-CU of IAB-DU to target donor-CU of IAB-MT, donor-CU of IAB-DU include this ID in the message sent to target donor-CU of IAB-MT.</w:t>
      </w:r>
    </w:p>
    <w:p w14:paraId="02A1D9E6" w14:textId="77777777" w:rsidR="00347B7E" w:rsidRPr="0031492F" w:rsidRDefault="00347B7E" w:rsidP="00347B7E">
      <w:pPr>
        <w:spacing w:before="120" w:after="120"/>
        <w:rPr>
          <w:b/>
          <w:bCs/>
          <w:i/>
          <w:color w:val="0000FF"/>
        </w:rPr>
      </w:pPr>
      <w:r w:rsidRPr="0031492F">
        <w:rPr>
          <w:b/>
        </w:rPr>
        <w:t xml:space="preserve">Proposal </w:t>
      </w:r>
      <w:r>
        <w:rPr>
          <w:b/>
        </w:rPr>
        <w:t>2</w:t>
      </w:r>
      <w:r w:rsidRPr="0031492F">
        <w:rPr>
          <w:b/>
        </w:rPr>
        <w:t xml:space="preserve">, RAN3 to discuss whether the source IAB-donor-CU of the IAB-MT needs to be informed about the completion of the DU migration or transport migration to release IAB-node related context including </w:t>
      </w:r>
      <w:proofErr w:type="spellStart"/>
      <w:r w:rsidRPr="0031492F">
        <w:rPr>
          <w:b/>
        </w:rPr>
        <w:t>XnAP</w:t>
      </w:r>
      <w:proofErr w:type="spellEnd"/>
      <w:r w:rsidRPr="0031492F">
        <w:rPr>
          <w:b/>
        </w:rPr>
        <w:t xml:space="preserve"> UE ID and transport path.</w:t>
      </w:r>
    </w:p>
    <w:p w14:paraId="4906915D" w14:textId="77777777" w:rsidR="00347B7E" w:rsidRDefault="00347B7E" w:rsidP="00347B7E">
      <w:pPr>
        <w:spacing w:before="120" w:after="120"/>
        <w:rPr>
          <w:b/>
        </w:rPr>
      </w:pPr>
      <w:r w:rsidRPr="0031492F">
        <w:rPr>
          <w:b/>
        </w:rPr>
        <w:t xml:space="preserve">Proposal </w:t>
      </w:r>
      <w:r>
        <w:rPr>
          <w:b/>
        </w:rPr>
        <w:t>3</w:t>
      </w:r>
      <w:r w:rsidRPr="0031492F">
        <w:rPr>
          <w:b/>
        </w:rPr>
        <w:t xml:space="preserve">, </w:t>
      </w:r>
      <w:r>
        <w:rPr>
          <w:b/>
        </w:rPr>
        <w:t>the DU migration and MT migration cannot be performed at the same time to avoid collision and service interruption.</w:t>
      </w:r>
    </w:p>
    <w:p w14:paraId="1C03823E" w14:textId="77777777" w:rsidR="00347B7E" w:rsidRDefault="00347B7E" w:rsidP="00347B7E">
      <w:pPr>
        <w:spacing w:before="120" w:after="120"/>
        <w:rPr>
          <w:b/>
        </w:rPr>
      </w:pPr>
      <w:r>
        <w:rPr>
          <w:b/>
        </w:rPr>
        <w:t>Proposal 4, the donor CU of IAB-MT needs to be informed about the start and end of the DU migration.</w:t>
      </w:r>
    </w:p>
    <w:p w14:paraId="4DA835C0" w14:textId="77777777" w:rsidR="00347B7E" w:rsidRPr="0031492F" w:rsidRDefault="00347B7E" w:rsidP="00347B7E">
      <w:pPr>
        <w:spacing w:before="120" w:after="120"/>
        <w:rPr>
          <w:b/>
        </w:rPr>
      </w:pPr>
      <w:r>
        <w:rPr>
          <w:b/>
        </w:rPr>
        <w:t>Proposal 5, the donor-CU of IAB-DU needs to be informed about the start and end of the MT handover.</w:t>
      </w:r>
    </w:p>
    <w:p w14:paraId="63C74FB8" w14:textId="77777777" w:rsidR="00347B7E" w:rsidRPr="00E37878" w:rsidRDefault="00347B7E" w:rsidP="00347B7E">
      <w:pPr>
        <w:rPr>
          <w:b/>
          <w:sz w:val="22"/>
          <w:szCs w:val="21"/>
          <w:lang w:val="en-US"/>
        </w:rPr>
      </w:pPr>
      <w:r w:rsidRPr="00E37878">
        <w:rPr>
          <w:b/>
          <w:sz w:val="22"/>
          <w:szCs w:val="21"/>
          <w:lang w:val="en-US"/>
        </w:rPr>
        <w:t>Observation</w:t>
      </w:r>
      <w:r>
        <w:rPr>
          <w:b/>
          <w:sz w:val="22"/>
          <w:szCs w:val="21"/>
          <w:lang w:val="en-US"/>
        </w:rPr>
        <w:t xml:space="preserve"> 1</w:t>
      </w:r>
      <w:r w:rsidRPr="00E37878">
        <w:rPr>
          <w:b/>
          <w:sz w:val="22"/>
          <w:szCs w:val="21"/>
          <w:lang w:val="en-US"/>
        </w:rPr>
        <w:t>,</w:t>
      </w:r>
      <w:r>
        <w:rPr>
          <w:b/>
          <w:sz w:val="22"/>
          <w:szCs w:val="21"/>
          <w:lang w:val="en-US"/>
        </w:rPr>
        <w:t xml:space="preserve"> DU migration decision should be carefully made with </w:t>
      </w:r>
      <w:r w:rsidRPr="00E37878">
        <w:rPr>
          <w:b/>
          <w:sz w:val="22"/>
          <w:szCs w:val="21"/>
          <w:lang w:val="en-US"/>
        </w:rPr>
        <w:t xml:space="preserve">necessary </w:t>
      </w:r>
      <w:r>
        <w:rPr>
          <w:b/>
          <w:sz w:val="22"/>
          <w:szCs w:val="21"/>
          <w:lang w:val="en-US"/>
        </w:rPr>
        <w:t>information.</w:t>
      </w:r>
    </w:p>
    <w:p w14:paraId="704A418C" w14:textId="77777777" w:rsidR="00347B7E" w:rsidRDefault="00347B7E" w:rsidP="00347B7E">
      <w:pPr>
        <w:rPr>
          <w:b/>
          <w:sz w:val="22"/>
          <w:szCs w:val="21"/>
          <w:lang w:val="en-US"/>
        </w:rPr>
      </w:pPr>
      <w:r w:rsidRPr="00E37878">
        <w:rPr>
          <w:b/>
          <w:sz w:val="22"/>
          <w:szCs w:val="21"/>
          <w:lang w:val="en-US"/>
        </w:rPr>
        <w:t xml:space="preserve">Proposal </w:t>
      </w:r>
      <w:r>
        <w:rPr>
          <w:b/>
          <w:sz w:val="22"/>
          <w:szCs w:val="21"/>
          <w:lang w:val="en-US"/>
        </w:rPr>
        <w:t>6</w:t>
      </w:r>
      <w:r w:rsidRPr="00E37878">
        <w:rPr>
          <w:b/>
          <w:sz w:val="22"/>
          <w:szCs w:val="21"/>
          <w:lang w:val="en-US"/>
        </w:rPr>
        <w:t>, RAN3 to discuss</w:t>
      </w:r>
      <w:r w:rsidRPr="00E37878">
        <w:rPr>
          <w:b/>
          <w:sz w:val="22"/>
        </w:rPr>
        <w:t xml:space="preserve"> </w:t>
      </w:r>
      <w:r w:rsidRPr="00E37878">
        <w:rPr>
          <w:b/>
          <w:sz w:val="22"/>
          <w:szCs w:val="21"/>
          <w:lang w:val="en-US"/>
        </w:rPr>
        <w:t xml:space="preserve">what information should be considered for the donor CU serving the </w:t>
      </w:r>
      <w:proofErr w:type="spellStart"/>
      <w:r w:rsidRPr="00E37878">
        <w:rPr>
          <w:b/>
          <w:sz w:val="22"/>
          <w:szCs w:val="21"/>
          <w:lang w:val="en-US"/>
        </w:rPr>
        <w:t>mIAB</w:t>
      </w:r>
      <w:proofErr w:type="spellEnd"/>
      <w:r w:rsidRPr="00E37878">
        <w:rPr>
          <w:b/>
          <w:sz w:val="22"/>
          <w:szCs w:val="21"/>
          <w:lang w:val="en-US"/>
        </w:rPr>
        <w:t xml:space="preserve">-DU to decide whether to perform DU migration or not. </w:t>
      </w:r>
    </w:p>
    <w:p w14:paraId="1F14C707" w14:textId="77777777" w:rsidR="00C6306F" w:rsidRDefault="00C6306F" w:rsidP="00C6306F">
      <w:pPr>
        <w:spacing w:before="120" w:after="0"/>
        <w:rPr>
          <w:b/>
          <w:sz w:val="22"/>
          <w:szCs w:val="22"/>
        </w:rPr>
      </w:pPr>
      <w:r w:rsidRPr="00224043">
        <w:rPr>
          <w:b/>
          <w:sz w:val="22"/>
          <w:szCs w:val="22"/>
        </w:rPr>
        <w:t>Proposal</w:t>
      </w:r>
      <w:r>
        <w:rPr>
          <w:b/>
          <w:sz w:val="22"/>
          <w:szCs w:val="22"/>
        </w:rPr>
        <w:t xml:space="preserve"> 7</w:t>
      </w:r>
      <w:r w:rsidRPr="00224043">
        <w:rPr>
          <w:b/>
          <w:sz w:val="22"/>
          <w:szCs w:val="22"/>
        </w:rPr>
        <w:t xml:space="preserve">, </w:t>
      </w:r>
      <w:r w:rsidRPr="00291904">
        <w:rPr>
          <w:b/>
          <w:sz w:val="22"/>
          <w:szCs w:val="22"/>
        </w:rPr>
        <w:t xml:space="preserve">In case the target logical </w:t>
      </w:r>
      <w:proofErr w:type="spellStart"/>
      <w:r w:rsidRPr="00291904">
        <w:rPr>
          <w:b/>
          <w:sz w:val="22"/>
          <w:szCs w:val="22"/>
        </w:rPr>
        <w:t>mIAB</w:t>
      </w:r>
      <w:proofErr w:type="spellEnd"/>
      <w:r w:rsidRPr="00291904">
        <w:rPr>
          <w:b/>
          <w:sz w:val="22"/>
          <w:szCs w:val="22"/>
        </w:rPr>
        <w:t xml:space="preserve">-DU’s CU is different from the </w:t>
      </w:r>
      <w:proofErr w:type="spellStart"/>
      <w:r w:rsidRPr="00291904">
        <w:rPr>
          <w:b/>
          <w:sz w:val="22"/>
          <w:szCs w:val="22"/>
        </w:rPr>
        <w:t>mIAB</w:t>
      </w:r>
      <w:proofErr w:type="spellEnd"/>
      <w:r w:rsidRPr="00291904">
        <w:rPr>
          <w:b/>
          <w:sz w:val="22"/>
          <w:szCs w:val="22"/>
        </w:rPr>
        <w:t xml:space="preserve">-MT’s CU, </w:t>
      </w:r>
      <w:r>
        <w:rPr>
          <w:b/>
          <w:sz w:val="22"/>
          <w:szCs w:val="22"/>
        </w:rPr>
        <w:t xml:space="preserve">the </w:t>
      </w:r>
      <w:proofErr w:type="spellStart"/>
      <w:r>
        <w:rPr>
          <w:b/>
          <w:sz w:val="22"/>
          <w:szCs w:val="22"/>
        </w:rPr>
        <w:t>mIAB</w:t>
      </w:r>
      <w:proofErr w:type="spellEnd"/>
      <w:r>
        <w:rPr>
          <w:b/>
          <w:sz w:val="22"/>
          <w:szCs w:val="22"/>
        </w:rPr>
        <w:t xml:space="preserve">-MT ID transferred to </w:t>
      </w:r>
      <w:r w:rsidRPr="00291904">
        <w:rPr>
          <w:b/>
          <w:sz w:val="22"/>
          <w:szCs w:val="22"/>
        </w:rPr>
        <w:t xml:space="preserve">target logical </w:t>
      </w:r>
      <w:proofErr w:type="spellStart"/>
      <w:r w:rsidRPr="00291904">
        <w:rPr>
          <w:b/>
          <w:sz w:val="22"/>
          <w:szCs w:val="22"/>
        </w:rPr>
        <w:t>mIAB</w:t>
      </w:r>
      <w:proofErr w:type="spellEnd"/>
      <w:r w:rsidRPr="00291904">
        <w:rPr>
          <w:b/>
          <w:sz w:val="22"/>
          <w:szCs w:val="22"/>
        </w:rPr>
        <w:t xml:space="preserve">-DU’s CU </w:t>
      </w:r>
      <w:r>
        <w:rPr>
          <w:b/>
          <w:sz w:val="22"/>
          <w:szCs w:val="22"/>
        </w:rPr>
        <w:t xml:space="preserve">should be the </w:t>
      </w:r>
      <w:proofErr w:type="spellStart"/>
      <w:r>
        <w:rPr>
          <w:b/>
          <w:sz w:val="22"/>
          <w:szCs w:val="22"/>
        </w:rPr>
        <w:t>XnAP</w:t>
      </w:r>
      <w:proofErr w:type="spellEnd"/>
      <w:r>
        <w:rPr>
          <w:b/>
          <w:sz w:val="22"/>
          <w:szCs w:val="22"/>
        </w:rPr>
        <w:t xml:space="preserve"> UE ID assigned by IAB-MT’s donor-CU</w:t>
      </w:r>
      <w:r w:rsidRPr="00224043">
        <w:rPr>
          <w:b/>
          <w:sz w:val="22"/>
          <w:szCs w:val="22"/>
        </w:rPr>
        <w:t>.</w:t>
      </w:r>
    </w:p>
    <w:p w14:paraId="7B241F2C" w14:textId="77777777" w:rsidR="00C6306F" w:rsidRDefault="00C6306F" w:rsidP="00C6306F">
      <w:pPr>
        <w:spacing w:before="120" w:after="0"/>
        <w:rPr>
          <w:b/>
          <w:sz w:val="22"/>
          <w:szCs w:val="22"/>
        </w:rPr>
      </w:pPr>
      <w:r>
        <w:rPr>
          <w:b/>
          <w:sz w:val="22"/>
          <w:szCs w:val="22"/>
        </w:rPr>
        <w:t xml:space="preserve">Proposal 8, the </w:t>
      </w:r>
      <w:r w:rsidRPr="00224043">
        <w:rPr>
          <w:b/>
          <w:sz w:val="22"/>
          <w:szCs w:val="22"/>
        </w:rPr>
        <w:t>target IAB-donor-CU of the IAB-DU</w:t>
      </w:r>
      <w:r>
        <w:rPr>
          <w:b/>
          <w:sz w:val="22"/>
          <w:szCs w:val="22"/>
        </w:rPr>
        <w:t xml:space="preserve">1 should include the </w:t>
      </w:r>
      <w:proofErr w:type="spellStart"/>
      <w:r>
        <w:rPr>
          <w:b/>
          <w:sz w:val="22"/>
          <w:szCs w:val="22"/>
        </w:rPr>
        <w:t>XnAP</w:t>
      </w:r>
      <w:proofErr w:type="spellEnd"/>
      <w:r>
        <w:rPr>
          <w:b/>
          <w:sz w:val="22"/>
          <w:szCs w:val="22"/>
        </w:rPr>
        <w:t xml:space="preserve"> UE ID assigned by IAB-MT’s donor-CU in the Transport Migration Request from the target </w:t>
      </w:r>
      <w:proofErr w:type="spellStart"/>
      <w:r>
        <w:rPr>
          <w:b/>
          <w:sz w:val="22"/>
          <w:szCs w:val="22"/>
        </w:rPr>
        <w:t>mIAB</w:t>
      </w:r>
      <w:proofErr w:type="spellEnd"/>
      <w:r>
        <w:rPr>
          <w:b/>
          <w:sz w:val="22"/>
          <w:szCs w:val="22"/>
        </w:rPr>
        <w:t>-DU’s donor-CU to the IAB-MT’s donor-CU.</w:t>
      </w:r>
    </w:p>
    <w:p w14:paraId="33CCCDB3" w14:textId="77777777" w:rsidR="00C6306F" w:rsidRDefault="00C6306F" w:rsidP="00C6306F">
      <w:pPr>
        <w:spacing w:before="120" w:after="0"/>
        <w:rPr>
          <w:b/>
          <w:sz w:val="22"/>
          <w:szCs w:val="22"/>
        </w:rPr>
      </w:pPr>
      <w:r>
        <w:rPr>
          <w:b/>
          <w:sz w:val="22"/>
          <w:szCs w:val="22"/>
        </w:rPr>
        <w:t>Proposal 9, when</w:t>
      </w:r>
      <w:r w:rsidRPr="00347B7E">
        <w:rPr>
          <w:b/>
          <w:sz w:val="22"/>
          <w:szCs w:val="22"/>
        </w:rPr>
        <w:t xml:space="preserve"> triggering the F1 Setup procedure on the </w:t>
      </w:r>
      <w:proofErr w:type="spellStart"/>
      <w:r w:rsidRPr="00347B7E">
        <w:rPr>
          <w:b/>
          <w:sz w:val="22"/>
          <w:szCs w:val="22"/>
        </w:rPr>
        <w:t>mIAB</w:t>
      </w:r>
      <w:proofErr w:type="spellEnd"/>
      <w:r w:rsidRPr="00347B7E">
        <w:rPr>
          <w:b/>
          <w:sz w:val="22"/>
          <w:szCs w:val="22"/>
        </w:rPr>
        <w:t xml:space="preserve">-node, the source logical </w:t>
      </w:r>
      <w:proofErr w:type="spellStart"/>
      <w:r w:rsidRPr="00347B7E">
        <w:rPr>
          <w:b/>
          <w:sz w:val="22"/>
          <w:szCs w:val="22"/>
        </w:rPr>
        <w:t>mIAB</w:t>
      </w:r>
      <w:proofErr w:type="spellEnd"/>
      <w:r w:rsidRPr="00347B7E">
        <w:rPr>
          <w:b/>
          <w:sz w:val="22"/>
          <w:szCs w:val="22"/>
        </w:rPr>
        <w:t xml:space="preserve">-DU’s CU to include </w:t>
      </w:r>
      <w:proofErr w:type="spellStart"/>
      <w:r>
        <w:rPr>
          <w:b/>
          <w:sz w:val="22"/>
          <w:szCs w:val="22"/>
        </w:rPr>
        <w:t>gNB</w:t>
      </w:r>
      <w:proofErr w:type="spellEnd"/>
      <w:r>
        <w:rPr>
          <w:b/>
          <w:sz w:val="22"/>
          <w:szCs w:val="22"/>
        </w:rPr>
        <w:t>-ID</w:t>
      </w:r>
      <w:r w:rsidRPr="00347B7E">
        <w:rPr>
          <w:b/>
          <w:sz w:val="22"/>
          <w:szCs w:val="22"/>
        </w:rPr>
        <w:t xml:space="preserve"> of target logical </w:t>
      </w:r>
      <w:proofErr w:type="spellStart"/>
      <w:r w:rsidRPr="00347B7E">
        <w:rPr>
          <w:b/>
          <w:sz w:val="22"/>
          <w:szCs w:val="22"/>
        </w:rPr>
        <w:t>mIAB</w:t>
      </w:r>
      <w:proofErr w:type="spellEnd"/>
      <w:r w:rsidRPr="00347B7E">
        <w:rPr>
          <w:b/>
          <w:sz w:val="22"/>
          <w:szCs w:val="22"/>
        </w:rPr>
        <w:t xml:space="preserve">-DU’s </w:t>
      </w:r>
      <w:r>
        <w:rPr>
          <w:b/>
          <w:sz w:val="22"/>
          <w:szCs w:val="22"/>
        </w:rPr>
        <w:t>CU.</w:t>
      </w:r>
    </w:p>
    <w:p w14:paraId="74DCB8CB" w14:textId="77777777" w:rsidR="000858F1" w:rsidRDefault="000858F1" w:rsidP="000858F1">
      <w:pPr>
        <w:spacing w:before="120" w:after="0"/>
        <w:rPr>
          <w:b/>
          <w:sz w:val="22"/>
          <w:szCs w:val="22"/>
        </w:rPr>
      </w:pPr>
      <w:r w:rsidRPr="00CF3D95">
        <w:rPr>
          <w:b/>
          <w:sz w:val="22"/>
          <w:szCs w:val="22"/>
        </w:rPr>
        <w:t>Proposal</w:t>
      </w:r>
      <w:r>
        <w:rPr>
          <w:b/>
          <w:sz w:val="22"/>
          <w:szCs w:val="22"/>
        </w:rPr>
        <w:t xml:space="preserve"> 10</w:t>
      </w:r>
      <w:r w:rsidRPr="00CF3D95">
        <w:rPr>
          <w:b/>
          <w:sz w:val="22"/>
          <w:szCs w:val="22"/>
        </w:rPr>
        <w:t xml:space="preserve">, RAN3 agree to introduce </w:t>
      </w:r>
      <w:r>
        <w:rPr>
          <w:b/>
          <w:sz w:val="22"/>
          <w:szCs w:val="22"/>
        </w:rPr>
        <w:t xml:space="preserve">IAB-MT’s ULI as </w:t>
      </w:r>
      <w:r w:rsidRPr="00CF3D95">
        <w:rPr>
          <w:b/>
          <w:sz w:val="22"/>
          <w:szCs w:val="22"/>
        </w:rPr>
        <w:t xml:space="preserve">additional ULI </w:t>
      </w:r>
      <w:r>
        <w:rPr>
          <w:b/>
          <w:sz w:val="22"/>
          <w:szCs w:val="22"/>
        </w:rPr>
        <w:t>of UE over NGAP.</w:t>
      </w:r>
    </w:p>
    <w:p w14:paraId="52AA3F87" w14:textId="363419C7" w:rsidR="000858F1" w:rsidRPr="00CF3D95" w:rsidRDefault="000858F1" w:rsidP="000858F1">
      <w:pPr>
        <w:spacing w:before="120" w:after="0"/>
        <w:rPr>
          <w:b/>
          <w:sz w:val="22"/>
          <w:szCs w:val="22"/>
        </w:rPr>
      </w:pPr>
      <w:r>
        <w:rPr>
          <w:b/>
          <w:sz w:val="22"/>
          <w:szCs w:val="22"/>
        </w:rPr>
        <w:t xml:space="preserve">Proposal 11, the serving donor CU of the IAB-DU </w:t>
      </w:r>
      <w:r w:rsidR="00C6306F">
        <w:rPr>
          <w:b/>
          <w:sz w:val="22"/>
          <w:szCs w:val="22"/>
        </w:rPr>
        <w:t>is responsible to</w:t>
      </w:r>
      <w:r>
        <w:rPr>
          <w:b/>
          <w:sz w:val="22"/>
          <w:szCs w:val="22"/>
        </w:rPr>
        <w:t xml:space="preserve"> provid</w:t>
      </w:r>
      <w:r w:rsidR="00C6306F">
        <w:rPr>
          <w:b/>
          <w:sz w:val="22"/>
          <w:szCs w:val="22"/>
        </w:rPr>
        <w:t>e</w:t>
      </w:r>
      <w:r>
        <w:rPr>
          <w:b/>
          <w:sz w:val="22"/>
          <w:szCs w:val="22"/>
        </w:rPr>
        <w:t xml:space="preserve"> the additional ULI to UE AMF.</w:t>
      </w:r>
    </w:p>
    <w:p w14:paraId="6853FA94" w14:textId="77777777" w:rsidR="000858F1" w:rsidRPr="00CF3D95" w:rsidRDefault="000858F1" w:rsidP="000858F1">
      <w:pPr>
        <w:spacing w:before="120" w:after="0"/>
        <w:rPr>
          <w:b/>
          <w:sz w:val="22"/>
          <w:szCs w:val="22"/>
        </w:rPr>
      </w:pPr>
      <w:r w:rsidRPr="00CF3D95">
        <w:rPr>
          <w:b/>
          <w:sz w:val="22"/>
          <w:szCs w:val="22"/>
        </w:rPr>
        <w:t>Proposal</w:t>
      </w:r>
      <w:r>
        <w:rPr>
          <w:b/>
          <w:sz w:val="22"/>
          <w:szCs w:val="22"/>
        </w:rPr>
        <w:t xml:space="preserve"> 12</w:t>
      </w:r>
      <w:r w:rsidRPr="00CF3D95">
        <w:rPr>
          <w:b/>
          <w:sz w:val="22"/>
          <w:szCs w:val="22"/>
        </w:rPr>
        <w:t xml:space="preserve">, the source donor CU for the </w:t>
      </w:r>
      <w:proofErr w:type="spellStart"/>
      <w:r w:rsidRPr="00CF3D95">
        <w:rPr>
          <w:b/>
          <w:sz w:val="22"/>
          <w:szCs w:val="22"/>
        </w:rPr>
        <w:t>mIAB</w:t>
      </w:r>
      <w:proofErr w:type="spellEnd"/>
      <w:r w:rsidRPr="00CF3D95">
        <w:rPr>
          <w:b/>
          <w:sz w:val="22"/>
          <w:szCs w:val="22"/>
        </w:rPr>
        <w:t xml:space="preserve">-MT HO provides to the donor CU serving the </w:t>
      </w:r>
      <w:proofErr w:type="spellStart"/>
      <w:r w:rsidRPr="00CF3D95">
        <w:rPr>
          <w:b/>
          <w:sz w:val="22"/>
          <w:szCs w:val="22"/>
        </w:rPr>
        <w:t>mIAB</w:t>
      </w:r>
      <w:proofErr w:type="spellEnd"/>
      <w:r w:rsidRPr="00CF3D95">
        <w:rPr>
          <w:b/>
          <w:sz w:val="22"/>
          <w:szCs w:val="22"/>
        </w:rPr>
        <w:t xml:space="preserve">-DU the ULI of IAB-MT after </w:t>
      </w:r>
      <w:r>
        <w:rPr>
          <w:b/>
          <w:sz w:val="22"/>
          <w:szCs w:val="22"/>
        </w:rPr>
        <w:t>every</w:t>
      </w:r>
      <w:r w:rsidRPr="00CF3D95">
        <w:rPr>
          <w:b/>
          <w:sz w:val="22"/>
          <w:szCs w:val="22"/>
        </w:rPr>
        <w:t xml:space="preserve"> </w:t>
      </w:r>
      <w:proofErr w:type="spellStart"/>
      <w:r w:rsidRPr="00CF3D95">
        <w:rPr>
          <w:b/>
          <w:sz w:val="22"/>
          <w:szCs w:val="22"/>
        </w:rPr>
        <w:t>mIAB</w:t>
      </w:r>
      <w:proofErr w:type="spellEnd"/>
      <w:r w:rsidRPr="00CF3D95">
        <w:rPr>
          <w:b/>
          <w:sz w:val="22"/>
          <w:szCs w:val="22"/>
        </w:rPr>
        <w:t>-MT HO.</w:t>
      </w:r>
    </w:p>
    <w:p w14:paraId="0B99EDFD" w14:textId="77777777" w:rsidR="00347B7E" w:rsidRPr="00347B7E" w:rsidRDefault="00347B7E" w:rsidP="00CD4C7B"/>
    <w:p w14:paraId="193FD945" w14:textId="41EEED5D" w:rsidR="00CD4C7B" w:rsidRPr="006E13D1" w:rsidRDefault="00342065" w:rsidP="00CD4C7B">
      <w:pPr>
        <w:pStyle w:val="1"/>
      </w:pPr>
      <w:r>
        <w:t>4</w:t>
      </w:r>
      <w:r>
        <w:tab/>
      </w:r>
      <w:r w:rsidR="00CD4C7B" w:rsidRPr="006E13D1">
        <w:t>References</w:t>
      </w:r>
    </w:p>
    <w:p w14:paraId="193B3469" w14:textId="02703749" w:rsidR="00D038E2" w:rsidRPr="00CD4C7B" w:rsidRDefault="00D038E2" w:rsidP="00D038E2">
      <w:pPr>
        <w:overflowPunct w:val="0"/>
        <w:autoSpaceDE w:val="0"/>
        <w:autoSpaceDN w:val="0"/>
        <w:adjustRightInd w:val="0"/>
        <w:ind w:left="567" w:hanging="567"/>
        <w:textAlignment w:val="baseline"/>
      </w:pPr>
      <w:r>
        <w:t>[1]</w:t>
      </w:r>
      <w:r w:rsidRPr="00702EF4">
        <w:t xml:space="preserve"> </w:t>
      </w:r>
      <w:r>
        <w:t>T</w:t>
      </w:r>
      <w:r w:rsidRPr="00702EF4">
        <w:t>R 23.700-05</w:t>
      </w:r>
      <w:r>
        <w:t>-i00, Study on architecture enhancements for vehicle-mounted relays</w:t>
      </w:r>
    </w:p>
    <w:p w14:paraId="0BA2BD6A" w14:textId="762D33F2"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8E25C" w14:textId="77777777" w:rsidR="00767A90" w:rsidRDefault="00767A90">
      <w:r>
        <w:separator/>
      </w:r>
    </w:p>
  </w:endnote>
  <w:endnote w:type="continuationSeparator" w:id="0">
    <w:p w14:paraId="60443D65" w14:textId="77777777" w:rsidR="00767A90" w:rsidRDefault="0076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49C0B" w14:textId="77777777" w:rsidR="00767A90" w:rsidRDefault="00767A90">
      <w:r>
        <w:separator/>
      </w:r>
    </w:p>
  </w:footnote>
  <w:footnote w:type="continuationSeparator" w:id="0">
    <w:p w14:paraId="6A3C70D3" w14:textId="77777777" w:rsidR="00767A90" w:rsidRDefault="00767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b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52E2E"/>
    <w:multiLevelType w:val="multilevel"/>
    <w:tmpl w:val="B53EB6F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AE34D5A"/>
    <w:multiLevelType w:val="hybridMultilevel"/>
    <w:tmpl w:val="48707B18"/>
    <w:lvl w:ilvl="0" w:tplc="FFFFFFFF">
      <w:start w:val="1"/>
      <w:numFmt w:val="decimal"/>
      <w:lvlText w:val="%1."/>
      <w:lvlJc w:val="left"/>
      <w:pPr>
        <w:ind w:left="360" w:hanging="360"/>
      </w:pPr>
      <w:rPr>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1"/>
  </w:num>
  <w:num w:numId="6">
    <w:abstractNumId w:val="10"/>
  </w:num>
  <w:num w:numId="7">
    <w:abstractNumId w:val="16"/>
  </w:num>
  <w:num w:numId="8">
    <w:abstractNumId w:val="17"/>
  </w:num>
  <w:num w:numId="9">
    <w:abstractNumId w:val="12"/>
  </w:num>
  <w:num w:numId="10">
    <w:abstractNumId w:val="15"/>
  </w:num>
  <w:num w:numId="11">
    <w:abstractNumId w:val="8"/>
  </w:num>
  <w:num w:numId="12">
    <w:abstractNumId w:val="14"/>
  </w:num>
  <w:num w:numId="13">
    <w:abstractNumId w:val="13"/>
  </w:num>
  <w:num w:numId="14">
    <w:abstractNumId w:val="6"/>
  </w:num>
  <w:num w:numId="15">
    <w:abstractNumId w:val="5"/>
  </w:num>
  <w:num w:numId="16">
    <w:abstractNumId w:val="20"/>
  </w:num>
  <w:num w:numId="17">
    <w:abstractNumId w:val="7"/>
  </w:num>
  <w:num w:numId="18">
    <w:abstractNumId w:val="20"/>
  </w:num>
  <w:num w:numId="19">
    <w:abstractNumId w:val="7"/>
  </w:num>
  <w:num w:numId="20">
    <w:abstractNumId w:val="22"/>
  </w:num>
  <w:num w:numId="21">
    <w:abstractNumId w:val="11"/>
  </w:num>
  <w:num w:numId="22">
    <w:abstractNumId w:val="20"/>
  </w:num>
  <w:num w:numId="23">
    <w:abstractNumId w:val="20"/>
  </w:num>
  <w:num w:numId="24">
    <w:abstractNumId w:val="18"/>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D1F"/>
    <w:rsid w:val="0003263B"/>
    <w:rsid w:val="00033397"/>
    <w:rsid w:val="000342C7"/>
    <w:rsid w:val="00040095"/>
    <w:rsid w:val="00045D5B"/>
    <w:rsid w:val="000548E9"/>
    <w:rsid w:val="0005563E"/>
    <w:rsid w:val="00080512"/>
    <w:rsid w:val="00083F0D"/>
    <w:rsid w:val="000858F1"/>
    <w:rsid w:val="000904E9"/>
    <w:rsid w:val="00096CCA"/>
    <w:rsid w:val="000B1245"/>
    <w:rsid w:val="000B7BCF"/>
    <w:rsid w:val="000C1506"/>
    <w:rsid w:val="000C556D"/>
    <w:rsid w:val="000D376D"/>
    <w:rsid w:val="000D58AB"/>
    <w:rsid w:val="000E383B"/>
    <w:rsid w:val="000F1DB2"/>
    <w:rsid w:val="000F2637"/>
    <w:rsid w:val="000F6549"/>
    <w:rsid w:val="000F693F"/>
    <w:rsid w:val="001075B7"/>
    <w:rsid w:val="001265F8"/>
    <w:rsid w:val="0013262A"/>
    <w:rsid w:val="001370F2"/>
    <w:rsid w:val="001475FB"/>
    <w:rsid w:val="001549DD"/>
    <w:rsid w:val="00155FF2"/>
    <w:rsid w:val="00164209"/>
    <w:rsid w:val="0017527C"/>
    <w:rsid w:val="00190CAC"/>
    <w:rsid w:val="00194CD0"/>
    <w:rsid w:val="0019788D"/>
    <w:rsid w:val="001B08B3"/>
    <w:rsid w:val="001B5DF8"/>
    <w:rsid w:val="001B6C46"/>
    <w:rsid w:val="001C4281"/>
    <w:rsid w:val="001D0D3F"/>
    <w:rsid w:val="001D4ED2"/>
    <w:rsid w:val="001E39D1"/>
    <w:rsid w:val="001E6294"/>
    <w:rsid w:val="001E6D6D"/>
    <w:rsid w:val="001F168B"/>
    <w:rsid w:val="001F70B7"/>
    <w:rsid w:val="00207AA2"/>
    <w:rsid w:val="002158E0"/>
    <w:rsid w:val="00224043"/>
    <w:rsid w:val="00225F6D"/>
    <w:rsid w:val="0022606D"/>
    <w:rsid w:val="002305DD"/>
    <w:rsid w:val="00240DD5"/>
    <w:rsid w:val="00241854"/>
    <w:rsid w:val="00243BC7"/>
    <w:rsid w:val="002453EA"/>
    <w:rsid w:val="00250D89"/>
    <w:rsid w:val="002546FB"/>
    <w:rsid w:val="0025725C"/>
    <w:rsid w:val="002623FC"/>
    <w:rsid w:val="002637D7"/>
    <w:rsid w:val="00263960"/>
    <w:rsid w:val="002747EC"/>
    <w:rsid w:val="002855BF"/>
    <w:rsid w:val="002862DF"/>
    <w:rsid w:val="002868BC"/>
    <w:rsid w:val="00291904"/>
    <w:rsid w:val="002953B2"/>
    <w:rsid w:val="002C7DD7"/>
    <w:rsid w:val="002D1EF7"/>
    <w:rsid w:val="002D43AF"/>
    <w:rsid w:val="002E1692"/>
    <w:rsid w:val="002E2ED5"/>
    <w:rsid w:val="002F0D22"/>
    <w:rsid w:val="002F5942"/>
    <w:rsid w:val="00307733"/>
    <w:rsid w:val="0031492F"/>
    <w:rsid w:val="003172DC"/>
    <w:rsid w:val="003238E8"/>
    <w:rsid w:val="00326069"/>
    <w:rsid w:val="00342065"/>
    <w:rsid w:val="003454FC"/>
    <w:rsid w:val="00347A40"/>
    <w:rsid w:val="00347B7E"/>
    <w:rsid w:val="003532DA"/>
    <w:rsid w:val="00353B12"/>
    <w:rsid w:val="0035462D"/>
    <w:rsid w:val="00363177"/>
    <w:rsid w:val="003702F7"/>
    <w:rsid w:val="00370F20"/>
    <w:rsid w:val="003717A7"/>
    <w:rsid w:val="003750FE"/>
    <w:rsid w:val="00385F81"/>
    <w:rsid w:val="00386801"/>
    <w:rsid w:val="003B3FB3"/>
    <w:rsid w:val="003B5FD6"/>
    <w:rsid w:val="003B61E3"/>
    <w:rsid w:val="003C4E37"/>
    <w:rsid w:val="003D3AF0"/>
    <w:rsid w:val="003E1194"/>
    <w:rsid w:val="003E16BE"/>
    <w:rsid w:val="003E7223"/>
    <w:rsid w:val="00401855"/>
    <w:rsid w:val="00406760"/>
    <w:rsid w:val="00406E33"/>
    <w:rsid w:val="00411221"/>
    <w:rsid w:val="00415D94"/>
    <w:rsid w:val="00431A24"/>
    <w:rsid w:val="00455983"/>
    <w:rsid w:val="00463D8A"/>
    <w:rsid w:val="00464695"/>
    <w:rsid w:val="0047092A"/>
    <w:rsid w:val="00472E21"/>
    <w:rsid w:val="0049472D"/>
    <w:rsid w:val="004A0AA2"/>
    <w:rsid w:val="004C53DC"/>
    <w:rsid w:val="004C5539"/>
    <w:rsid w:val="004D3578"/>
    <w:rsid w:val="004D380D"/>
    <w:rsid w:val="004D3F58"/>
    <w:rsid w:val="004D5E47"/>
    <w:rsid w:val="004E0173"/>
    <w:rsid w:val="004E213A"/>
    <w:rsid w:val="004E21FC"/>
    <w:rsid w:val="004E6C01"/>
    <w:rsid w:val="004F493F"/>
    <w:rsid w:val="00503171"/>
    <w:rsid w:val="005153FE"/>
    <w:rsid w:val="00521DA4"/>
    <w:rsid w:val="005240A4"/>
    <w:rsid w:val="00531C12"/>
    <w:rsid w:val="00534DA0"/>
    <w:rsid w:val="005361A0"/>
    <w:rsid w:val="00540B31"/>
    <w:rsid w:val="00540BF8"/>
    <w:rsid w:val="00543E6C"/>
    <w:rsid w:val="00544635"/>
    <w:rsid w:val="00552076"/>
    <w:rsid w:val="00554621"/>
    <w:rsid w:val="00557E1D"/>
    <w:rsid w:val="005626DD"/>
    <w:rsid w:val="00565087"/>
    <w:rsid w:val="0056573F"/>
    <w:rsid w:val="00565BE9"/>
    <w:rsid w:val="00571CE2"/>
    <w:rsid w:val="0057579F"/>
    <w:rsid w:val="00587958"/>
    <w:rsid w:val="005A04B8"/>
    <w:rsid w:val="005A4971"/>
    <w:rsid w:val="005B1232"/>
    <w:rsid w:val="005B2EEF"/>
    <w:rsid w:val="005C335B"/>
    <w:rsid w:val="005D0F3B"/>
    <w:rsid w:val="005D1B08"/>
    <w:rsid w:val="005D4274"/>
    <w:rsid w:val="005D5A45"/>
    <w:rsid w:val="005E3C56"/>
    <w:rsid w:val="005E5C4A"/>
    <w:rsid w:val="005F1BD4"/>
    <w:rsid w:val="005F36D0"/>
    <w:rsid w:val="0060539B"/>
    <w:rsid w:val="00605E3E"/>
    <w:rsid w:val="00606DA9"/>
    <w:rsid w:val="00611566"/>
    <w:rsid w:val="00611D47"/>
    <w:rsid w:val="0062324B"/>
    <w:rsid w:val="006327AD"/>
    <w:rsid w:val="006412FD"/>
    <w:rsid w:val="006538D4"/>
    <w:rsid w:val="006553A7"/>
    <w:rsid w:val="00656E1E"/>
    <w:rsid w:val="006604E4"/>
    <w:rsid w:val="0067782C"/>
    <w:rsid w:val="00684CB2"/>
    <w:rsid w:val="00697E26"/>
    <w:rsid w:val="006B36A5"/>
    <w:rsid w:val="006B3E5D"/>
    <w:rsid w:val="006B56B6"/>
    <w:rsid w:val="006B75FF"/>
    <w:rsid w:val="006C3617"/>
    <w:rsid w:val="006C4235"/>
    <w:rsid w:val="006C54B5"/>
    <w:rsid w:val="006D1E24"/>
    <w:rsid w:val="006E04AD"/>
    <w:rsid w:val="006F1B81"/>
    <w:rsid w:val="006F70C2"/>
    <w:rsid w:val="0070147B"/>
    <w:rsid w:val="00701A94"/>
    <w:rsid w:val="00702BDF"/>
    <w:rsid w:val="007304F5"/>
    <w:rsid w:val="00731F81"/>
    <w:rsid w:val="00734A5B"/>
    <w:rsid w:val="00737DBB"/>
    <w:rsid w:val="00741EC5"/>
    <w:rsid w:val="00743525"/>
    <w:rsid w:val="00744C7C"/>
    <w:rsid w:val="00744E76"/>
    <w:rsid w:val="007476DB"/>
    <w:rsid w:val="007528F5"/>
    <w:rsid w:val="00755770"/>
    <w:rsid w:val="00756B13"/>
    <w:rsid w:val="007574C2"/>
    <w:rsid w:val="00757D40"/>
    <w:rsid w:val="00767A90"/>
    <w:rsid w:val="00767CDA"/>
    <w:rsid w:val="0077054F"/>
    <w:rsid w:val="00774846"/>
    <w:rsid w:val="00776271"/>
    <w:rsid w:val="00781F0F"/>
    <w:rsid w:val="0078727C"/>
    <w:rsid w:val="00797225"/>
    <w:rsid w:val="00797D4B"/>
    <w:rsid w:val="007A0BB5"/>
    <w:rsid w:val="007B1C16"/>
    <w:rsid w:val="007C095F"/>
    <w:rsid w:val="007C36EF"/>
    <w:rsid w:val="007D5902"/>
    <w:rsid w:val="007E1F12"/>
    <w:rsid w:val="007E4746"/>
    <w:rsid w:val="007F2676"/>
    <w:rsid w:val="007F3F5F"/>
    <w:rsid w:val="007F687D"/>
    <w:rsid w:val="00800860"/>
    <w:rsid w:val="00802106"/>
    <w:rsid w:val="008028A4"/>
    <w:rsid w:val="00803E9E"/>
    <w:rsid w:val="00804625"/>
    <w:rsid w:val="00806520"/>
    <w:rsid w:val="008223CA"/>
    <w:rsid w:val="00822EA1"/>
    <w:rsid w:val="00830106"/>
    <w:rsid w:val="00840916"/>
    <w:rsid w:val="008415DA"/>
    <w:rsid w:val="00853EDD"/>
    <w:rsid w:val="00854F93"/>
    <w:rsid w:val="008564F7"/>
    <w:rsid w:val="008604EE"/>
    <w:rsid w:val="00860B5D"/>
    <w:rsid w:val="00865B05"/>
    <w:rsid w:val="0087401D"/>
    <w:rsid w:val="008768CA"/>
    <w:rsid w:val="00880559"/>
    <w:rsid w:val="008975A9"/>
    <w:rsid w:val="008A3526"/>
    <w:rsid w:val="008A4A6A"/>
    <w:rsid w:val="008A79DE"/>
    <w:rsid w:val="008B570B"/>
    <w:rsid w:val="008C1A7E"/>
    <w:rsid w:val="008C2835"/>
    <w:rsid w:val="008C490B"/>
    <w:rsid w:val="008C62FA"/>
    <w:rsid w:val="008E0F31"/>
    <w:rsid w:val="008F2AD0"/>
    <w:rsid w:val="008F4654"/>
    <w:rsid w:val="0090271F"/>
    <w:rsid w:val="00903D8C"/>
    <w:rsid w:val="00904D26"/>
    <w:rsid w:val="009149D8"/>
    <w:rsid w:val="00917051"/>
    <w:rsid w:val="009321BB"/>
    <w:rsid w:val="00935728"/>
    <w:rsid w:val="00942EC2"/>
    <w:rsid w:val="00952D8F"/>
    <w:rsid w:val="00954BCB"/>
    <w:rsid w:val="00961B32"/>
    <w:rsid w:val="009700B3"/>
    <w:rsid w:val="00971683"/>
    <w:rsid w:val="00972FD7"/>
    <w:rsid w:val="00974BB0"/>
    <w:rsid w:val="009768D0"/>
    <w:rsid w:val="00992AB4"/>
    <w:rsid w:val="00997D5B"/>
    <w:rsid w:val="009A695F"/>
    <w:rsid w:val="009A6E4F"/>
    <w:rsid w:val="009B36EB"/>
    <w:rsid w:val="009B4F59"/>
    <w:rsid w:val="009C1314"/>
    <w:rsid w:val="009C4D5C"/>
    <w:rsid w:val="009D0A28"/>
    <w:rsid w:val="009D20A0"/>
    <w:rsid w:val="009E17E2"/>
    <w:rsid w:val="009E489E"/>
    <w:rsid w:val="009F3B54"/>
    <w:rsid w:val="009F75AB"/>
    <w:rsid w:val="009F7E6E"/>
    <w:rsid w:val="00A10F02"/>
    <w:rsid w:val="00A12228"/>
    <w:rsid w:val="00A12267"/>
    <w:rsid w:val="00A2199E"/>
    <w:rsid w:val="00A4298B"/>
    <w:rsid w:val="00A53724"/>
    <w:rsid w:val="00A61FEF"/>
    <w:rsid w:val="00A64C87"/>
    <w:rsid w:val="00A80B02"/>
    <w:rsid w:val="00A82346"/>
    <w:rsid w:val="00A834FB"/>
    <w:rsid w:val="00A8361A"/>
    <w:rsid w:val="00A858CF"/>
    <w:rsid w:val="00A9671C"/>
    <w:rsid w:val="00AB6AAB"/>
    <w:rsid w:val="00AD4BCF"/>
    <w:rsid w:val="00AE7FEC"/>
    <w:rsid w:val="00AF4A8E"/>
    <w:rsid w:val="00AF78D5"/>
    <w:rsid w:val="00B03810"/>
    <w:rsid w:val="00B1063A"/>
    <w:rsid w:val="00B15449"/>
    <w:rsid w:val="00B30B9F"/>
    <w:rsid w:val="00B4119B"/>
    <w:rsid w:val="00B41851"/>
    <w:rsid w:val="00B42422"/>
    <w:rsid w:val="00B503D9"/>
    <w:rsid w:val="00B6745D"/>
    <w:rsid w:val="00B8569C"/>
    <w:rsid w:val="00B936A4"/>
    <w:rsid w:val="00B9781E"/>
    <w:rsid w:val="00BA10CA"/>
    <w:rsid w:val="00BA6755"/>
    <w:rsid w:val="00BA7BA8"/>
    <w:rsid w:val="00BB188A"/>
    <w:rsid w:val="00BB52E1"/>
    <w:rsid w:val="00BB59FF"/>
    <w:rsid w:val="00BD5F05"/>
    <w:rsid w:val="00BE7F3D"/>
    <w:rsid w:val="00BF79F1"/>
    <w:rsid w:val="00C03035"/>
    <w:rsid w:val="00C270CC"/>
    <w:rsid w:val="00C275BC"/>
    <w:rsid w:val="00C33079"/>
    <w:rsid w:val="00C365F1"/>
    <w:rsid w:val="00C43B31"/>
    <w:rsid w:val="00C50536"/>
    <w:rsid w:val="00C53F7B"/>
    <w:rsid w:val="00C55EB7"/>
    <w:rsid w:val="00C608E9"/>
    <w:rsid w:val="00C6306F"/>
    <w:rsid w:val="00C805B8"/>
    <w:rsid w:val="00C84652"/>
    <w:rsid w:val="00C85FFB"/>
    <w:rsid w:val="00C866E9"/>
    <w:rsid w:val="00CA276C"/>
    <w:rsid w:val="00CA2BDA"/>
    <w:rsid w:val="00CA3D0C"/>
    <w:rsid w:val="00CA69D5"/>
    <w:rsid w:val="00CB6651"/>
    <w:rsid w:val="00CB6887"/>
    <w:rsid w:val="00CB751A"/>
    <w:rsid w:val="00CC64B4"/>
    <w:rsid w:val="00CD41C2"/>
    <w:rsid w:val="00CD4C7B"/>
    <w:rsid w:val="00CD6529"/>
    <w:rsid w:val="00CE6A06"/>
    <w:rsid w:val="00CF3D95"/>
    <w:rsid w:val="00CF5628"/>
    <w:rsid w:val="00D0362F"/>
    <w:rsid w:val="00D038E2"/>
    <w:rsid w:val="00D11936"/>
    <w:rsid w:val="00D22038"/>
    <w:rsid w:val="00D23014"/>
    <w:rsid w:val="00D45717"/>
    <w:rsid w:val="00D45D1F"/>
    <w:rsid w:val="00D470EA"/>
    <w:rsid w:val="00D563CF"/>
    <w:rsid w:val="00D65CE2"/>
    <w:rsid w:val="00D7092D"/>
    <w:rsid w:val="00D738D6"/>
    <w:rsid w:val="00D764AE"/>
    <w:rsid w:val="00D80795"/>
    <w:rsid w:val="00D80BE8"/>
    <w:rsid w:val="00D82770"/>
    <w:rsid w:val="00D862C5"/>
    <w:rsid w:val="00D87E00"/>
    <w:rsid w:val="00D908B4"/>
    <w:rsid w:val="00D90D48"/>
    <w:rsid w:val="00D9134D"/>
    <w:rsid w:val="00D97CD9"/>
    <w:rsid w:val="00DA132F"/>
    <w:rsid w:val="00DA1CA9"/>
    <w:rsid w:val="00DA5329"/>
    <w:rsid w:val="00DA6945"/>
    <w:rsid w:val="00DA7A03"/>
    <w:rsid w:val="00DB1818"/>
    <w:rsid w:val="00DB5FD0"/>
    <w:rsid w:val="00DB6F28"/>
    <w:rsid w:val="00DC0907"/>
    <w:rsid w:val="00DC1445"/>
    <w:rsid w:val="00DC309B"/>
    <w:rsid w:val="00DC4DA2"/>
    <w:rsid w:val="00DE1406"/>
    <w:rsid w:val="00E0084C"/>
    <w:rsid w:val="00E07838"/>
    <w:rsid w:val="00E305A4"/>
    <w:rsid w:val="00E340BC"/>
    <w:rsid w:val="00E37501"/>
    <w:rsid w:val="00E37878"/>
    <w:rsid w:val="00E477A3"/>
    <w:rsid w:val="00E51135"/>
    <w:rsid w:val="00E51F8B"/>
    <w:rsid w:val="00E62835"/>
    <w:rsid w:val="00E64BF8"/>
    <w:rsid w:val="00E64F19"/>
    <w:rsid w:val="00E67147"/>
    <w:rsid w:val="00E77645"/>
    <w:rsid w:val="00E852FF"/>
    <w:rsid w:val="00E90ABE"/>
    <w:rsid w:val="00EA1D56"/>
    <w:rsid w:val="00EA22F8"/>
    <w:rsid w:val="00EA27FA"/>
    <w:rsid w:val="00EC4A25"/>
    <w:rsid w:val="00ED06A6"/>
    <w:rsid w:val="00ED0D91"/>
    <w:rsid w:val="00ED1751"/>
    <w:rsid w:val="00ED3C10"/>
    <w:rsid w:val="00ED66DD"/>
    <w:rsid w:val="00ED7F72"/>
    <w:rsid w:val="00EE022B"/>
    <w:rsid w:val="00EE0A1E"/>
    <w:rsid w:val="00EF2DFA"/>
    <w:rsid w:val="00F01BC8"/>
    <w:rsid w:val="00F025A2"/>
    <w:rsid w:val="00F0718F"/>
    <w:rsid w:val="00F2026E"/>
    <w:rsid w:val="00F2210A"/>
    <w:rsid w:val="00F35C58"/>
    <w:rsid w:val="00F37743"/>
    <w:rsid w:val="00F44895"/>
    <w:rsid w:val="00F54114"/>
    <w:rsid w:val="00F54A3D"/>
    <w:rsid w:val="00F653B8"/>
    <w:rsid w:val="00F71331"/>
    <w:rsid w:val="00F76F8F"/>
    <w:rsid w:val="00F809D5"/>
    <w:rsid w:val="00FA1266"/>
    <w:rsid w:val="00FA189A"/>
    <w:rsid w:val="00FA5EEC"/>
    <w:rsid w:val="00FB2BEA"/>
    <w:rsid w:val="00FC1192"/>
    <w:rsid w:val="00FC53BF"/>
    <w:rsid w:val="00FC6713"/>
    <w:rsid w:val="00FD2E14"/>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027D1F"/>
    <w:rPr>
      <w:rFonts w:ascii="Arial" w:eastAsia="MS Mincho" w:hAnsi="Arial"/>
      <w:lang w:val="en-GB" w:eastAsia="en-US"/>
    </w:rPr>
  </w:style>
  <w:style w:type="paragraph" w:styleId="ae">
    <w:name w:val="endnote text"/>
    <w:basedOn w:val="a"/>
    <w:link w:val="af"/>
    <w:rsid w:val="006412FD"/>
    <w:pPr>
      <w:spacing w:after="0"/>
    </w:pPr>
  </w:style>
  <w:style w:type="character" w:customStyle="1" w:styleId="af">
    <w:name w:val="尾注文本 字符"/>
    <w:basedOn w:val="a0"/>
    <w:link w:val="ae"/>
    <w:rsid w:val="006412FD"/>
    <w:rPr>
      <w:lang w:val="en-GB" w:eastAsia="en-US"/>
    </w:rPr>
  </w:style>
  <w:style w:type="character" w:styleId="af0">
    <w:name w:val="endnote reference"/>
    <w:basedOn w:val="a0"/>
    <w:rsid w:val="00641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039863714">
      <w:bodyDiv w:val="1"/>
      <w:marLeft w:val="0"/>
      <w:marRight w:val="0"/>
      <w:marTop w:val="0"/>
      <w:marBottom w:val="0"/>
      <w:divBdr>
        <w:top w:val="none" w:sz="0" w:space="0" w:color="auto"/>
        <w:left w:val="none" w:sz="0" w:space="0" w:color="auto"/>
        <w:bottom w:val="none" w:sz="0" w:space="0" w:color="auto"/>
        <w:right w:val="none" w:sz="0" w:space="0" w:color="auto"/>
      </w:divBdr>
    </w:div>
    <w:div w:id="1101488679">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87947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981DA-77E9-44B7-B9A0-657ABAB3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1810</Words>
  <Characters>10321</Characters>
  <Application>Microsoft Office Word</Application>
  <DocSecurity>0</DocSecurity>
  <Lines>86</Lines>
  <Paragraphs>24</Paragraphs>
  <ScaleCrop>false</ScaleCrop>
  <Company/>
  <LinksUpToDate>false</LinksUpToDate>
  <CharactersWithSpaces>12107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2023-04-07T02:49:00Z</dcterms:created>
  <dcterms:modified xsi:type="dcterms:W3CDTF">2023-04-07T06:45:00Z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